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5700"/>
      </w:tblGrid>
      <w:tr w:rsidR="005C32CE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color w:val="212529"/>
              </w:rPr>
              <w:t>B</w:t>
            </w:r>
            <w:r>
              <w:rPr>
                <w:rFonts w:eastAsia="Segoe UI"/>
                <w:color w:val="212529"/>
              </w:rPr>
              <w:t>Ộ</w:t>
            </w:r>
            <w:r>
              <w:rPr>
                <w:rFonts w:eastAsia="Segoe UI"/>
                <w:color w:val="212529"/>
              </w:rPr>
              <w:t xml:space="preserve"> TÀI CHÍNH</w:t>
            </w:r>
            <w:r>
              <w:rPr>
                <w:rFonts w:eastAsia="Segoe UI"/>
                <w:color w:val="212529"/>
              </w:rPr>
              <w:br/>
            </w:r>
            <w:r>
              <w:rPr>
                <w:rFonts w:eastAsia="Segoe UI"/>
                <w:b/>
                <w:bCs/>
                <w:color w:val="212529"/>
              </w:rPr>
              <w:t>T</w:t>
            </w:r>
            <w:r>
              <w:rPr>
                <w:rFonts w:eastAsia="Segoe UI"/>
                <w:b/>
                <w:bCs/>
                <w:color w:val="212529"/>
              </w:rPr>
              <w:t>Ổ</w:t>
            </w:r>
            <w:r>
              <w:rPr>
                <w:rFonts w:eastAsia="Segoe UI"/>
                <w:b/>
                <w:bCs/>
                <w:color w:val="212529"/>
              </w:rPr>
              <w:t>NG C</w:t>
            </w:r>
            <w:r>
              <w:rPr>
                <w:rFonts w:eastAsia="Segoe UI"/>
                <w:b/>
                <w:bCs/>
                <w:color w:val="212529"/>
              </w:rPr>
              <w:t>Ụ</w:t>
            </w:r>
            <w:r>
              <w:rPr>
                <w:rFonts w:eastAsia="Segoe UI"/>
                <w:b/>
                <w:bCs/>
                <w:color w:val="212529"/>
              </w:rPr>
              <w:t>C THU</w:t>
            </w:r>
            <w:r>
              <w:rPr>
                <w:rFonts w:eastAsia="Segoe UI"/>
                <w:b/>
                <w:bCs/>
                <w:color w:val="212529"/>
              </w:rPr>
              <w:t>Ế</w:t>
            </w:r>
            <w:r>
              <w:rPr>
                <w:rFonts w:eastAsia="Segoe UI"/>
                <w:b/>
                <w:bCs/>
                <w:color w:val="212529"/>
              </w:rPr>
              <w:br/>
              <w:t>-------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b/>
                <w:bCs/>
                <w:color w:val="212529"/>
              </w:rPr>
              <w:t>C</w:t>
            </w:r>
            <w:r>
              <w:rPr>
                <w:rFonts w:eastAsia="Segoe UI"/>
                <w:b/>
                <w:bCs/>
                <w:color w:val="212529"/>
              </w:rPr>
              <w:t>Ộ</w:t>
            </w:r>
            <w:r>
              <w:rPr>
                <w:rFonts w:eastAsia="Segoe UI"/>
                <w:b/>
                <w:bCs/>
                <w:color w:val="212529"/>
              </w:rPr>
              <w:t>NG HÒA XÃ H</w:t>
            </w:r>
            <w:r>
              <w:rPr>
                <w:rFonts w:eastAsia="Segoe UI"/>
                <w:b/>
                <w:bCs/>
                <w:color w:val="212529"/>
              </w:rPr>
              <w:t>Ộ</w:t>
            </w:r>
            <w:r>
              <w:rPr>
                <w:rFonts w:eastAsia="Segoe UI"/>
                <w:b/>
                <w:bCs/>
                <w:color w:val="212529"/>
              </w:rPr>
              <w:t>I CH</w:t>
            </w:r>
            <w:r>
              <w:rPr>
                <w:rFonts w:eastAsia="Segoe UI"/>
                <w:b/>
                <w:bCs/>
                <w:color w:val="212529"/>
              </w:rPr>
              <w:t>Ủ</w:t>
            </w:r>
            <w:r>
              <w:rPr>
                <w:rFonts w:eastAsia="Segoe UI"/>
                <w:b/>
                <w:bCs/>
                <w:color w:val="212529"/>
              </w:rPr>
              <w:t xml:space="preserve"> NGHĨA VI</w:t>
            </w:r>
            <w:r>
              <w:rPr>
                <w:rFonts w:eastAsia="Segoe UI"/>
                <w:b/>
                <w:bCs/>
                <w:color w:val="212529"/>
              </w:rPr>
              <w:t>Ệ</w:t>
            </w:r>
            <w:r>
              <w:rPr>
                <w:rFonts w:eastAsia="Segoe UI"/>
                <w:b/>
                <w:bCs/>
                <w:color w:val="212529"/>
              </w:rPr>
              <w:t>T NAM</w:t>
            </w:r>
            <w:r>
              <w:rPr>
                <w:rFonts w:eastAsia="Segoe UI"/>
                <w:b/>
                <w:bCs/>
                <w:color w:val="212529"/>
              </w:rPr>
              <w:br/>
              <w:t>Đ</w:t>
            </w:r>
            <w:r>
              <w:rPr>
                <w:rFonts w:eastAsia="Segoe UI"/>
                <w:b/>
                <w:bCs/>
                <w:color w:val="212529"/>
              </w:rPr>
              <w:t>ộ</w:t>
            </w:r>
            <w:r>
              <w:rPr>
                <w:rFonts w:eastAsia="Segoe UI"/>
                <w:b/>
                <w:bCs/>
                <w:color w:val="212529"/>
              </w:rPr>
              <w:t>c l</w:t>
            </w:r>
            <w:r>
              <w:rPr>
                <w:rFonts w:eastAsia="Segoe UI"/>
                <w:b/>
                <w:bCs/>
                <w:color w:val="212529"/>
              </w:rPr>
              <w:t>ậ</w:t>
            </w:r>
            <w:r>
              <w:rPr>
                <w:rFonts w:eastAsia="Segoe UI"/>
                <w:b/>
                <w:bCs/>
                <w:color w:val="212529"/>
              </w:rPr>
              <w:t>p - T</w:t>
            </w:r>
            <w:r>
              <w:rPr>
                <w:rFonts w:eastAsia="Segoe UI"/>
                <w:b/>
                <w:bCs/>
                <w:color w:val="212529"/>
              </w:rPr>
              <w:t>ự</w:t>
            </w:r>
            <w:r>
              <w:rPr>
                <w:rFonts w:eastAsia="Segoe UI"/>
                <w:b/>
                <w:bCs/>
                <w:color w:val="212529"/>
              </w:rPr>
              <w:t xml:space="preserve"> do - H</w:t>
            </w:r>
            <w:r>
              <w:rPr>
                <w:rFonts w:eastAsia="Segoe UI"/>
                <w:b/>
                <w:bCs/>
                <w:color w:val="212529"/>
              </w:rPr>
              <w:t>ạ</w:t>
            </w:r>
            <w:r>
              <w:rPr>
                <w:rFonts w:eastAsia="Segoe UI"/>
                <w:b/>
                <w:bCs/>
                <w:color w:val="212529"/>
              </w:rPr>
              <w:t>nh phúc </w:t>
            </w:r>
            <w:r>
              <w:rPr>
                <w:rFonts w:eastAsia="Segoe UI"/>
                <w:b/>
                <w:bCs/>
                <w:color w:val="212529"/>
              </w:rPr>
              <w:br/>
              <w:t>---------------</w:t>
            </w:r>
          </w:p>
        </w:tc>
      </w:tr>
      <w:tr w:rsidR="005C32CE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color w:val="212529"/>
              </w:rPr>
              <w:t>S</w:t>
            </w:r>
            <w:r>
              <w:rPr>
                <w:rFonts w:eastAsia="Segoe UI"/>
                <w:color w:val="212529"/>
              </w:rPr>
              <w:t>ố</w:t>
            </w:r>
            <w:r>
              <w:rPr>
                <w:rFonts w:eastAsia="Segoe UI"/>
                <w:color w:val="212529"/>
              </w:rPr>
              <w:t>: 2861/TCT-TNCN</w:t>
            </w:r>
            <w:r>
              <w:rPr>
                <w:rFonts w:eastAsia="Segoe UI"/>
                <w:color w:val="212529"/>
              </w:rPr>
              <w:br/>
            </w:r>
            <w:r>
              <w:rPr>
                <w:rFonts w:eastAsia="Segoe UI"/>
                <w:i/>
                <w:iCs/>
                <w:color w:val="212529"/>
              </w:rPr>
              <w:t>V/v: v</w:t>
            </w:r>
            <w:r>
              <w:rPr>
                <w:rFonts w:eastAsia="Segoe UI"/>
                <w:i/>
                <w:iCs/>
                <w:color w:val="212529"/>
              </w:rPr>
              <w:t>ề</w:t>
            </w:r>
            <w:r>
              <w:rPr>
                <w:rFonts w:eastAsia="Segoe UI"/>
                <w:i/>
                <w:iCs/>
                <w:color w:val="212529"/>
              </w:rPr>
              <w:t xml:space="preserve"> chính sách 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  <w:r>
              <w:rPr>
                <w:rFonts w:eastAsia="Segoe UI"/>
                <w:i/>
                <w:iCs/>
                <w:color w:val="212529"/>
              </w:rPr>
              <w:t xml:space="preserve"> TNCN.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  <w:jc w:val="right"/>
            </w:pPr>
            <w:r>
              <w:rPr>
                <w:rFonts w:eastAsia="Segoe UI"/>
                <w:i/>
                <w:iCs/>
                <w:color w:val="212529"/>
              </w:rPr>
              <w:t>Hà N</w:t>
            </w:r>
            <w:r>
              <w:rPr>
                <w:rFonts w:eastAsia="Segoe UI"/>
                <w:i/>
                <w:iCs/>
                <w:color w:val="212529"/>
              </w:rPr>
              <w:t>ộ</w:t>
            </w:r>
            <w:r>
              <w:rPr>
                <w:rFonts w:eastAsia="Segoe UI"/>
                <w:i/>
                <w:iCs/>
                <w:color w:val="212529"/>
              </w:rPr>
              <w:t>i, ngày 23 tháng 7 năm 2018</w:t>
            </w:r>
          </w:p>
        </w:tc>
      </w:tr>
    </w:tbl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 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eastAsia="Segoe UI"/>
          <w:color w:val="212529"/>
        </w:rPr>
      </w:pPr>
      <w:r>
        <w:rPr>
          <w:rFonts w:eastAsia="Segoe UI"/>
          <w:b/>
          <w:bCs/>
          <w:color w:val="212529"/>
          <w:shd w:val="clear" w:color="auto" w:fill="FFFFFF"/>
        </w:rPr>
        <w:t>Kính g</w:t>
      </w:r>
      <w:r>
        <w:rPr>
          <w:rFonts w:eastAsia="Segoe UI"/>
          <w:b/>
          <w:bCs/>
          <w:color w:val="212529"/>
          <w:shd w:val="clear" w:color="auto" w:fill="FFFFFF"/>
        </w:rPr>
        <w:t>ử</w:t>
      </w:r>
      <w:r>
        <w:rPr>
          <w:rFonts w:eastAsia="Segoe UI"/>
          <w:b/>
          <w:bCs/>
          <w:color w:val="212529"/>
          <w:shd w:val="clear" w:color="auto" w:fill="FFFFFF"/>
        </w:rPr>
        <w:t>i:</w:t>
      </w:r>
      <w:r>
        <w:rPr>
          <w:rFonts w:eastAsia="Segoe UI"/>
          <w:color w:val="212529"/>
          <w:shd w:val="clear" w:color="auto" w:fill="FFFFFF"/>
        </w:rPr>
        <w:t> Công ty Lu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t Vi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t Nam Consult</w:t>
      </w:r>
      <w:r>
        <w:rPr>
          <w:rFonts w:eastAsia="Segoe UI"/>
          <w:color w:val="212529"/>
          <w:shd w:val="clear" w:color="auto" w:fill="FFFFFF"/>
        </w:rPr>
        <w:br/>
      </w:r>
      <w:r>
        <w:rPr>
          <w:rFonts w:eastAsia="Segoe UI"/>
          <w:i/>
          <w:iCs/>
          <w:color w:val="212529"/>
          <w:shd w:val="clear" w:color="auto" w:fill="FFFFFF"/>
        </w:rPr>
        <w:t>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a ch</w:t>
      </w:r>
      <w:r>
        <w:rPr>
          <w:rFonts w:eastAsia="Segoe UI"/>
          <w:i/>
          <w:iCs/>
          <w:color w:val="212529"/>
          <w:shd w:val="clear" w:color="auto" w:fill="FFFFFF"/>
        </w:rPr>
        <w:t>ỉ</w:t>
      </w:r>
      <w:r>
        <w:rPr>
          <w:rFonts w:eastAsia="Segoe UI"/>
          <w:i/>
          <w:iCs/>
          <w:color w:val="212529"/>
          <w:shd w:val="clear" w:color="auto" w:fill="FFFFFF"/>
        </w:rPr>
        <w:t xml:space="preserve">: </w:t>
      </w:r>
      <w:r>
        <w:rPr>
          <w:rFonts w:eastAsia="Segoe UI"/>
          <w:i/>
          <w:iCs/>
          <w:color w:val="212529"/>
          <w:shd w:val="clear" w:color="auto" w:fill="FFFFFF"/>
        </w:rPr>
        <w:t>Ph205B, tòa nhà TĐL, 22 Láng H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, Ba Đình, Hà N</w:t>
      </w:r>
      <w:r>
        <w:rPr>
          <w:rFonts w:eastAsia="Segoe UI"/>
          <w:i/>
          <w:iCs/>
          <w:color w:val="212529"/>
          <w:shd w:val="clear" w:color="auto" w:fill="FFFFFF"/>
        </w:rPr>
        <w:t>ộ</w:t>
      </w:r>
      <w:r>
        <w:rPr>
          <w:rFonts w:eastAsia="Segoe UI"/>
          <w:i/>
          <w:iCs/>
          <w:color w:val="212529"/>
          <w:shd w:val="clear" w:color="auto" w:fill="FFFFFF"/>
        </w:rPr>
        <w:t>i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ng c</w:t>
      </w:r>
      <w:r>
        <w:rPr>
          <w:rFonts w:eastAsia="Segoe UI"/>
          <w:color w:val="212529"/>
          <w:shd w:val="clear" w:color="auto" w:fill="FFFFFF"/>
        </w:rPr>
        <w:t>ụ</w:t>
      </w:r>
      <w:r>
        <w:rPr>
          <w:rFonts w:eastAsia="Segoe UI"/>
          <w:color w:val="212529"/>
          <w:shd w:val="clear" w:color="auto" w:fill="FFFFFF"/>
        </w:rPr>
        <w:t>c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nh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n đư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c Công văn s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 xml:space="preserve"> 5692/VPCP-ĐMDN ngày 15/6/2018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Văn phòng Chính ph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 xml:space="preserve"> v</w:t>
      </w:r>
      <w:r>
        <w:rPr>
          <w:rFonts w:eastAsia="Segoe UI"/>
          <w:color w:val="212529"/>
          <w:shd w:val="clear" w:color="auto" w:fill="FFFFFF"/>
        </w:rPr>
        <w:t>ề</w:t>
      </w:r>
      <w:r>
        <w:rPr>
          <w:rFonts w:eastAsia="Segoe UI"/>
          <w:color w:val="212529"/>
          <w:shd w:val="clear" w:color="auto" w:fill="FFFFFF"/>
        </w:rPr>
        <w:t xml:space="preserve"> ki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>n ngh</w:t>
      </w:r>
      <w:r>
        <w:rPr>
          <w:rFonts w:eastAsia="Segoe UI"/>
          <w:color w:val="212529"/>
          <w:shd w:val="clear" w:color="auto" w:fill="FFFFFF"/>
        </w:rPr>
        <w:t>ị</w:t>
      </w:r>
      <w:r>
        <w:rPr>
          <w:rFonts w:eastAsia="Segoe UI"/>
          <w:color w:val="212529"/>
          <w:shd w:val="clear" w:color="auto" w:fill="FFFFFF"/>
        </w:rPr>
        <w:t xml:space="preserve">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Công ty Lu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t Vi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t Nam Consult trên C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ng Thông tin đi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n t</w:t>
      </w:r>
      <w:r>
        <w:rPr>
          <w:rFonts w:eastAsia="Segoe UI"/>
          <w:color w:val="212529"/>
          <w:shd w:val="clear" w:color="auto" w:fill="FFFFFF"/>
        </w:rPr>
        <w:t>ử</w:t>
      </w:r>
      <w:r>
        <w:rPr>
          <w:rFonts w:eastAsia="Segoe UI"/>
          <w:color w:val="212529"/>
          <w:shd w:val="clear" w:color="auto" w:fill="FFFFFF"/>
        </w:rPr>
        <w:t xml:space="preserve">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Chính ph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, c</w:t>
      </w:r>
      <w:r>
        <w:rPr>
          <w:rFonts w:eastAsia="Segoe UI"/>
          <w:color w:val="212529"/>
          <w:shd w:val="clear" w:color="auto" w:fill="FFFFFF"/>
        </w:rPr>
        <w:t>ụ</w:t>
      </w:r>
      <w:r>
        <w:rPr>
          <w:rFonts w:eastAsia="Segoe UI"/>
          <w:color w:val="212529"/>
          <w:shd w:val="clear" w:color="auto" w:fill="FFFFFF"/>
        </w:rPr>
        <w:t xml:space="preserve"> th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 xml:space="preserve"> v</w:t>
      </w:r>
      <w:r>
        <w:rPr>
          <w:rFonts w:eastAsia="Segoe UI"/>
          <w:color w:val="212529"/>
          <w:shd w:val="clear" w:color="auto" w:fill="FFFFFF"/>
        </w:rPr>
        <w:t>ề</w:t>
      </w:r>
      <w:r>
        <w:rPr>
          <w:rFonts w:eastAsia="Segoe UI"/>
          <w:color w:val="212529"/>
          <w:shd w:val="clear" w:color="auto" w:fill="FFFFFF"/>
        </w:rPr>
        <w:t xml:space="preserve"> chính sách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T</w:t>
      </w:r>
      <w:r>
        <w:rPr>
          <w:rFonts w:eastAsia="Segoe UI"/>
          <w:color w:val="212529"/>
          <w:shd w:val="clear" w:color="auto" w:fill="FFFFFF"/>
        </w:rPr>
        <w:t>NCN đ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>i v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i cá nhân chuy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>n như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ng ch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>ng khoán 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 Thông tư s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> </w:t>
      </w:r>
      <w:hyperlink r:id="rId5" w:tgtFrame="https://phapluatcongdong.vn/van-ban/_blank" w:tooltip="Thông tư 25/2018/TT-BTC" w:history="1">
        <w:r>
          <w:rPr>
            <w:rStyle w:val="Hyperlink"/>
            <w:rFonts w:eastAsia="Segoe UI"/>
            <w:color w:val="1A0DAB"/>
            <w:u w:val="none"/>
            <w:shd w:val="clear" w:color="auto" w:fill="FFFFFF"/>
          </w:rPr>
          <w:t>25/2018/TT-BTC.</w:t>
        </w:r>
      </w:hyperlink>
      <w:r>
        <w:rPr>
          <w:rFonts w:eastAsia="Segoe UI"/>
          <w:color w:val="212529"/>
          <w:shd w:val="clear" w:color="auto" w:fill="FFFFFF"/>
        </w:rPr>
        <w:t> V</w:t>
      </w:r>
      <w:r>
        <w:rPr>
          <w:rFonts w:eastAsia="Segoe UI"/>
          <w:color w:val="212529"/>
          <w:shd w:val="clear" w:color="auto" w:fill="FFFFFF"/>
        </w:rPr>
        <w:t>ấ</w:t>
      </w:r>
      <w:r>
        <w:rPr>
          <w:rFonts w:eastAsia="Segoe UI"/>
          <w:color w:val="212529"/>
          <w:shd w:val="clear" w:color="auto" w:fill="FFFFFF"/>
        </w:rPr>
        <w:t>n đ</w:t>
      </w:r>
      <w:r>
        <w:rPr>
          <w:rFonts w:eastAsia="Segoe UI"/>
          <w:color w:val="212529"/>
          <w:shd w:val="clear" w:color="auto" w:fill="FFFFFF"/>
        </w:rPr>
        <w:t>ề</w:t>
      </w:r>
      <w:r>
        <w:rPr>
          <w:rFonts w:eastAsia="Segoe UI"/>
          <w:color w:val="212529"/>
          <w:shd w:val="clear" w:color="auto" w:fill="FFFFFF"/>
        </w:rPr>
        <w:t xml:space="preserve"> này, T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ng c</w:t>
      </w:r>
      <w:r>
        <w:rPr>
          <w:rFonts w:eastAsia="Segoe UI"/>
          <w:color w:val="212529"/>
          <w:shd w:val="clear" w:color="auto" w:fill="FFFFFF"/>
        </w:rPr>
        <w:t>ụ</w:t>
      </w:r>
      <w:r>
        <w:rPr>
          <w:rFonts w:eastAsia="Segoe UI"/>
          <w:color w:val="212529"/>
          <w:shd w:val="clear" w:color="auto" w:fill="FFFFFF"/>
        </w:rPr>
        <w:t>c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có ý ki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>n như sau: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 </w:t>
      </w:r>
      <w:bookmarkStart w:id="0" w:name="dc_1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ể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m 4 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2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111/2013/TT-BTC</w:t>
      </w:r>
      <w:bookmarkEnd w:id="0"/>
      <w:r>
        <w:rPr>
          <w:rFonts w:eastAsia="Segoe UI"/>
          <w:color w:val="212529"/>
          <w:shd w:val="clear" w:color="auto" w:fill="FFFFFF"/>
        </w:rPr>
        <w:t> ngày 15/8/2013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B</w:t>
      </w:r>
      <w:r>
        <w:rPr>
          <w:rFonts w:eastAsia="Segoe UI"/>
          <w:color w:val="212529"/>
          <w:shd w:val="clear" w:color="auto" w:fill="FFFFFF"/>
        </w:rPr>
        <w:t>ộ</w:t>
      </w:r>
      <w:r>
        <w:rPr>
          <w:rFonts w:eastAsia="Segoe UI"/>
          <w:color w:val="212529"/>
          <w:shd w:val="clear" w:color="auto" w:fill="FFFFFF"/>
        </w:rPr>
        <w:t xml:space="preserve"> Tài chính hư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ng d</w:t>
      </w:r>
      <w:r>
        <w:rPr>
          <w:rFonts w:eastAsia="Segoe UI"/>
          <w:color w:val="212529"/>
          <w:shd w:val="clear" w:color="auto" w:fill="FFFFFF"/>
        </w:rPr>
        <w:t>ẫ</w:t>
      </w:r>
      <w:r>
        <w:rPr>
          <w:rFonts w:eastAsia="Segoe UI"/>
          <w:color w:val="212529"/>
          <w:shd w:val="clear" w:color="auto" w:fill="FFFFFF"/>
        </w:rPr>
        <w:t>n: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“4.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là Kho</w:t>
      </w:r>
      <w:r>
        <w:rPr>
          <w:rFonts w:eastAsia="Segoe UI"/>
          <w:i/>
          <w:iCs/>
          <w:color w:val="212529"/>
          <w:shd w:val="clear" w:color="auto" w:fill="FFFFFF"/>
        </w:rPr>
        <w:t>ả</w:t>
      </w:r>
      <w:r>
        <w:rPr>
          <w:rFonts w:eastAsia="Segoe UI"/>
          <w:i/>
          <w:iCs/>
          <w:color w:val="212529"/>
          <w:shd w:val="clear" w:color="auto" w:fill="FFFFFF"/>
        </w:rPr>
        <w:t>n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cá nhân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n đư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 xml:space="preserve">c </w:t>
      </w:r>
      <w:r>
        <w:rPr>
          <w:rFonts w:eastAsia="Segoe UI"/>
          <w:i/>
          <w:iCs/>
          <w:color w:val="212529"/>
          <w:shd w:val="clear" w:color="auto" w:fill="FFFFFF"/>
        </w:rPr>
        <w:t>bao g</w:t>
      </w:r>
      <w:r>
        <w:rPr>
          <w:rFonts w:eastAsia="Segoe UI"/>
          <w:i/>
          <w:iCs/>
          <w:color w:val="212529"/>
          <w:shd w:val="clear" w:color="auto" w:fill="FFFFFF"/>
        </w:rPr>
        <w:t>ồ</w:t>
      </w:r>
      <w:r>
        <w:rPr>
          <w:rFonts w:eastAsia="Segoe UI"/>
          <w:i/>
          <w:iCs/>
          <w:color w:val="212529"/>
          <w:shd w:val="clear" w:color="auto" w:fill="FFFFFF"/>
        </w:rPr>
        <w:t>m: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a)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góp trong công ty trách nhi</w:t>
      </w:r>
      <w:r>
        <w:rPr>
          <w:rFonts w:eastAsia="Segoe UI"/>
          <w:i/>
          <w:iCs/>
          <w:color w:val="212529"/>
          <w:shd w:val="clear" w:color="auto" w:fill="FFFFFF"/>
        </w:rPr>
        <w:t>ệ</w:t>
      </w:r>
      <w:r>
        <w:rPr>
          <w:rFonts w:eastAsia="Segoe UI"/>
          <w:i/>
          <w:iCs/>
          <w:color w:val="212529"/>
          <w:shd w:val="clear" w:color="auto" w:fill="FFFFFF"/>
        </w:rPr>
        <w:t>m h</w:t>
      </w:r>
      <w:r>
        <w:rPr>
          <w:rFonts w:eastAsia="Segoe UI"/>
          <w:i/>
          <w:iCs/>
          <w:color w:val="212529"/>
          <w:shd w:val="clear" w:color="auto" w:fill="FFFFFF"/>
        </w:rPr>
        <w:t>ữ</w:t>
      </w:r>
      <w:r>
        <w:rPr>
          <w:rFonts w:eastAsia="Segoe UI"/>
          <w:i/>
          <w:iCs/>
          <w:color w:val="212529"/>
          <w:shd w:val="clear" w:color="auto" w:fill="FFFFFF"/>
        </w:rPr>
        <w:t>u h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n (bao g</w:t>
      </w:r>
      <w:r>
        <w:rPr>
          <w:rFonts w:eastAsia="Segoe UI"/>
          <w:i/>
          <w:iCs/>
          <w:color w:val="212529"/>
          <w:shd w:val="clear" w:color="auto" w:fill="FFFFFF"/>
        </w:rPr>
        <w:t>ồ</w:t>
      </w:r>
      <w:r>
        <w:rPr>
          <w:rFonts w:eastAsia="Segoe UI"/>
          <w:i/>
          <w:iCs/>
          <w:color w:val="212529"/>
          <w:shd w:val="clear" w:color="auto" w:fill="FFFFFF"/>
        </w:rPr>
        <w:t>m c</w:t>
      </w:r>
      <w:r>
        <w:rPr>
          <w:rFonts w:eastAsia="Segoe UI"/>
          <w:i/>
          <w:iCs/>
          <w:color w:val="212529"/>
          <w:shd w:val="clear" w:color="auto" w:fill="FFFFFF"/>
        </w:rPr>
        <w:t>ả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công ty trách nhi</w:t>
      </w:r>
      <w:r>
        <w:rPr>
          <w:rFonts w:eastAsia="Segoe UI"/>
          <w:i/>
          <w:iCs/>
          <w:color w:val="212529"/>
          <w:shd w:val="clear" w:color="auto" w:fill="FFFFFF"/>
        </w:rPr>
        <w:t>ệ</w:t>
      </w:r>
      <w:r>
        <w:rPr>
          <w:rFonts w:eastAsia="Segoe UI"/>
          <w:i/>
          <w:iCs/>
          <w:color w:val="212529"/>
          <w:shd w:val="clear" w:color="auto" w:fill="FFFFFF"/>
        </w:rPr>
        <w:t>m h</w:t>
      </w:r>
      <w:r>
        <w:rPr>
          <w:rFonts w:eastAsia="Segoe UI"/>
          <w:i/>
          <w:iCs/>
          <w:color w:val="212529"/>
          <w:shd w:val="clear" w:color="auto" w:fill="FFFFFF"/>
        </w:rPr>
        <w:t>ữ</w:t>
      </w:r>
      <w:r>
        <w:rPr>
          <w:rFonts w:eastAsia="Segoe UI"/>
          <w:i/>
          <w:iCs/>
          <w:color w:val="212529"/>
          <w:shd w:val="clear" w:color="auto" w:fill="FFFFFF"/>
        </w:rPr>
        <w:t>u h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n m</w:t>
      </w:r>
      <w:r>
        <w:rPr>
          <w:rFonts w:eastAsia="Segoe UI"/>
          <w:i/>
          <w:iCs/>
          <w:color w:val="212529"/>
          <w:shd w:val="clear" w:color="auto" w:fill="FFFFFF"/>
        </w:rPr>
        <w:t>ộ</w:t>
      </w:r>
      <w:r>
        <w:rPr>
          <w:rFonts w:eastAsia="Segoe UI"/>
          <w:i/>
          <w:iCs/>
          <w:color w:val="212529"/>
          <w:shd w:val="clear" w:color="auto" w:fill="FFFFFF"/>
        </w:rPr>
        <w:t>t thành viên), công ty h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p danh, h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p đ</w:t>
      </w:r>
      <w:r>
        <w:rPr>
          <w:rFonts w:eastAsia="Segoe UI"/>
          <w:i/>
          <w:iCs/>
          <w:color w:val="212529"/>
          <w:shd w:val="clear" w:color="auto" w:fill="FFFFFF"/>
        </w:rPr>
        <w:t>ồ</w:t>
      </w:r>
      <w:r>
        <w:rPr>
          <w:rFonts w:eastAsia="Segoe UI"/>
          <w:i/>
          <w:iCs/>
          <w:color w:val="212529"/>
          <w:shd w:val="clear" w:color="auto" w:fill="FFFFFF"/>
        </w:rPr>
        <w:t>ng h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p tác kinh doanh, h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p tác xã, qu</w:t>
      </w:r>
      <w:r>
        <w:rPr>
          <w:rFonts w:eastAsia="Segoe UI"/>
          <w:i/>
          <w:iCs/>
          <w:color w:val="212529"/>
          <w:shd w:val="clear" w:color="auto" w:fill="FFFFFF"/>
        </w:rPr>
        <w:t>ỹ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tín d</w:t>
      </w:r>
      <w:r>
        <w:rPr>
          <w:rFonts w:eastAsia="Segoe UI"/>
          <w:i/>
          <w:iCs/>
          <w:color w:val="212529"/>
          <w:shd w:val="clear" w:color="auto" w:fill="FFFFFF"/>
        </w:rPr>
        <w:t>ụ</w:t>
      </w:r>
      <w:r>
        <w:rPr>
          <w:rFonts w:eastAsia="Segoe UI"/>
          <w:i/>
          <w:iCs/>
          <w:color w:val="212529"/>
          <w:shd w:val="clear" w:color="auto" w:fill="FFFFFF"/>
        </w:rPr>
        <w:t>ng nhân dân, t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c kinh t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, t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c khác.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b) Thu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khoán, bao g</w:t>
      </w:r>
      <w:r>
        <w:rPr>
          <w:rFonts w:eastAsia="Segoe UI"/>
          <w:i/>
          <w:iCs/>
          <w:color w:val="212529"/>
          <w:shd w:val="clear" w:color="auto" w:fill="FFFFFF"/>
        </w:rPr>
        <w:t>ồ</w:t>
      </w:r>
      <w:r>
        <w:rPr>
          <w:rFonts w:eastAsia="Segoe UI"/>
          <w:i/>
          <w:iCs/>
          <w:color w:val="212529"/>
          <w:shd w:val="clear" w:color="auto" w:fill="FFFFFF"/>
        </w:rPr>
        <w:t>m: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quy</w:t>
      </w:r>
      <w:r>
        <w:rPr>
          <w:rFonts w:eastAsia="Segoe UI"/>
          <w:i/>
          <w:iCs/>
          <w:color w:val="212529"/>
          <w:shd w:val="clear" w:color="auto" w:fill="FFFFFF"/>
        </w:rPr>
        <w:t>ề</w:t>
      </w:r>
      <w:r>
        <w:rPr>
          <w:rFonts w:eastAsia="Segoe UI"/>
          <w:i/>
          <w:iCs/>
          <w:color w:val="212529"/>
          <w:shd w:val="clear" w:color="auto" w:fill="FFFFFF"/>
        </w:rPr>
        <w:t>n mua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trái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tín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ch</w:t>
      </w:r>
      <w:r>
        <w:rPr>
          <w:rFonts w:eastAsia="Segoe UI"/>
          <w:i/>
          <w:iCs/>
          <w:color w:val="212529"/>
          <w:shd w:val="clear" w:color="auto" w:fill="FFFFFF"/>
        </w:rPr>
        <w:t>ỉ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qu</w:t>
      </w:r>
      <w:r>
        <w:rPr>
          <w:rFonts w:eastAsia="Segoe UI"/>
          <w:i/>
          <w:iCs/>
          <w:color w:val="212529"/>
          <w:shd w:val="clear" w:color="auto" w:fill="FFFFFF"/>
        </w:rPr>
        <w:t>ỹ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và các lo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i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 khác theo quy 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nh c</w:t>
      </w:r>
      <w:r>
        <w:rPr>
          <w:rFonts w:eastAsia="Segoe UI"/>
          <w:i/>
          <w:iCs/>
          <w:color w:val="212529"/>
          <w:shd w:val="clear" w:color="auto" w:fill="FFFFFF"/>
        </w:rPr>
        <w:t>ủ</w:t>
      </w:r>
      <w:r>
        <w:rPr>
          <w:rFonts w:eastAsia="Segoe UI"/>
          <w:i/>
          <w:iCs/>
          <w:color w:val="212529"/>
          <w:shd w:val="clear" w:color="auto" w:fill="FFFFFF"/>
        </w:rPr>
        <w:t>a Lu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t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khoán;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c</w:t>
      </w:r>
      <w:r>
        <w:rPr>
          <w:rFonts w:eastAsia="Segoe UI"/>
          <w:i/>
          <w:iCs/>
          <w:color w:val="212529"/>
          <w:shd w:val="clear" w:color="auto" w:fill="FFFFFF"/>
        </w:rPr>
        <w:t>ủ</w:t>
      </w:r>
      <w:r>
        <w:rPr>
          <w:rFonts w:eastAsia="Segoe UI"/>
          <w:i/>
          <w:iCs/>
          <w:color w:val="212529"/>
          <w:shd w:val="clear" w:color="auto" w:fill="FFFFFF"/>
        </w:rPr>
        <w:t>a các cá nhân tro</w:t>
      </w:r>
      <w:r>
        <w:rPr>
          <w:rFonts w:eastAsia="Segoe UI"/>
          <w:i/>
          <w:iCs/>
          <w:color w:val="212529"/>
          <w:shd w:val="clear" w:color="auto" w:fill="FFFFFF"/>
        </w:rPr>
        <w:t>ng công ty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theo quy 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nh c</w:t>
      </w:r>
      <w:r>
        <w:rPr>
          <w:rFonts w:eastAsia="Segoe UI"/>
          <w:i/>
          <w:iCs/>
          <w:color w:val="212529"/>
          <w:shd w:val="clear" w:color="auto" w:fill="FFFFFF"/>
        </w:rPr>
        <w:t>ủ</w:t>
      </w:r>
      <w:r>
        <w:rPr>
          <w:rFonts w:eastAsia="Segoe UI"/>
          <w:i/>
          <w:iCs/>
          <w:color w:val="212529"/>
          <w:shd w:val="clear" w:color="auto" w:fill="FFFFFF"/>
        </w:rPr>
        <w:t>a Lu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t Doanh nghi</w:t>
      </w:r>
      <w:r>
        <w:rPr>
          <w:rFonts w:eastAsia="Segoe UI"/>
          <w:i/>
          <w:iCs/>
          <w:color w:val="212529"/>
          <w:shd w:val="clear" w:color="auto" w:fill="FFFFFF"/>
        </w:rPr>
        <w:t>ệ</w:t>
      </w:r>
      <w:r>
        <w:rPr>
          <w:rFonts w:eastAsia="Segoe UI"/>
          <w:i/>
          <w:iCs/>
          <w:color w:val="212529"/>
          <w:shd w:val="clear" w:color="auto" w:fill="FFFFFF"/>
        </w:rPr>
        <w:t>p.”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 </w:t>
      </w:r>
      <w:bookmarkStart w:id="1" w:name="dc_2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11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111/2013/TT-BTC</w:t>
      </w:r>
      <w:bookmarkEnd w:id="1"/>
      <w:r>
        <w:rPr>
          <w:rFonts w:eastAsia="Segoe UI"/>
          <w:color w:val="212529"/>
          <w:shd w:val="clear" w:color="auto" w:fill="FFFFFF"/>
        </w:rPr>
        <w:t> ngày 15/8/2013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B</w:t>
      </w:r>
      <w:r>
        <w:rPr>
          <w:rFonts w:eastAsia="Segoe UI"/>
          <w:color w:val="212529"/>
          <w:shd w:val="clear" w:color="auto" w:fill="FFFFFF"/>
        </w:rPr>
        <w:t>ộ</w:t>
      </w:r>
      <w:r>
        <w:rPr>
          <w:rFonts w:eastAsia="Segoe UI"/>
          <w:color w:val="212529"/>
          <w:shd w:val="clear" w:color="auto" w:fill="FFFFFF"/>
        </w:rPr>
        <w:t xml:space="preserve"> Tài chính hư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ng d</w:t>
      </w:r>
      <w:r>
        <w:rPr>
          <w:rFonts w:eastAsia="Segoe UI"/>
          <w:color w:val="212529"/>
          <w:shd w:val="clear" w:color="auto" w:fill="FFFFFF"/>
        </w:rPr>
        <w:t>ẫ</w:t>
      </w:r>
      <w:r>
        <w:rPr>
          <w:rFonts w:eastAsia="Segoe UI"/>
          <w:color w:val="212529"/>
          <w:shd w:val="clear" w:color="auto" w:fill="FFFFFF"/>
        </w:rPr>
        <w:t>n căn c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 xml:space="preserve"> tính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đ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>i v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i thu nh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p t</w:t>
      </w:r>
      <w:r>
        <w:rPr>
          <w:rFonts w:eastAsia="Segoe UI"/>
          <w:color w:val="212529"/>
          <w:shd w:val="clear" w:color="auto" w:fill="FFFFFF"/>
        </w:rPr>
        <w:t>ừ</w:t>
      </w:r>
      <w:r>
        <w:rPr>
          <w:rFonts w:eastAsia="Segoe UI"/>
          <w:color w:val="212529"/>
          <w:shd w:val="clear" w:color="auto" w:fill="FFFFFF"/>
        </w:rPr>
        <w:t xml:space="preserve"> chuy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>n như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ng v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>n: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“1. Đ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i v</w:t>
      </w:r>
      <w:r>
        <w:rPr>
          <w:rFonts w:eastAsia="Segoe UI"/>
          <w:i/>
          <w:iCs/>
          <w:color w:val="212529"/>
          <w:shd w:val="clear" w:color="auto" w:fill="FFFFFF"/>
        </w:rPr>
        <w:t>ớ</w:t>
      </w:r>
      <w:r>
        <w:rPr>
          <w:rFonts w:eastAsia="Segoe UI"/>
          <w:i/>
          <w:iCs/>
          <w:color w:val="212529"/>
          <w:shd w:val="clear" w:color="auto" w:fill="FFFFFF"/>
        </w:rPr>
        <w:t>i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góp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Căn c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</w:t>
      </w:r>
      <w:r>
        <w:rPr>
          <w:rFonts w:eastAsia="Segoe UI"/>
          <w:i/>
          <w:iCs/>
          <w:color w:val="212529"/>
          <w:shd w:val="clear" w:color="auto" w:fill="FFFFFF"/>
        </w:rPr>
        <w:t>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đ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i v</w:t>
      </w:r>
      <w:r>
        <w:rPr>
          <w:rFonts w:eastAsia="Segoe UI"/>
          <w:i/>
          <w:iCs/>
          <w:color w:val="212529"/>
          <w:shd w:val="clear" w:color="auto" w:fill="FFFFFF"/>
        </w:rPr>
        <w:t>ớ</w:t>
      </w:r>
      <w:r>
        <w:rPr>
          <w:rFonts w:eastAsia="Segoe UI"/>
          <w:i/>
          <w:iCs/>
          <w:color w:val="212529"/>
          <w:shd w:val="clear" w:color="auto" w:fill="FFFFFF"/>
        </w:rPr>
        <w:t>i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góp là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và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a)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: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góp đư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c xác 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nh b</w:t>
      </w:r>
      <w:r>
        <w:rPr>
          <w:rFonts w:eastAsia="Segoe UI"/>
          <w:i/>
          <w:iCs/>
          <w:color w:val="212529"/>
          <w:shd w:val="clear" w:color="auto" w:fill="FFFFFF"/>
        </w:rPr>
        <w:t>ằ</w:t>
      </w:r>
      <w:r>
        <w:rPr>
          <w:rFonts w:eastAsia="Segoe UI"/>
          <w:i/>
          <w:iCs/>
          <w:color w:val="212529"/>
          <w:shd w:val="clear" w:color="auto" w:fill="FFFFFF"/>
        </w:rPr>
        <w:t>ng giá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tr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giá mua c</w:t>
      </w:r>
      <w:r>
        <w:rPr>
          <w:rFonts w:eastAsia="Segoe UI"/>
          <w:i/>
          <w:iCs/>
          <w:color w:val="212529"/>
          <w:shd w:val="clear" w:color="auto" w:fill="FFFFFF"/>
        </w:rPr>
        <w:t>ủ</w:t>
      </w:r>
      <w:r>
        <w:rPr>
          <w:rFonts w:eastAsia="Segoe UI"/>
          <w:i/>
          <w:iCs/>
          <w:color w:val="212529"/>
          <w:shd w:val="clear" w:color="auto" w:fill="FFFFFF"/>
        </w:rPr>
        <w:t>a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 xml:space="preserve">ng và các chi phí </w:t>
      </w:r>
      <w:r>
        <w:rPr>
          <w:rFonts w:eastAsia="Segoe UI"/>
          <w:i/>
          <w:iCs/>
          <w:color w:val="212529"/>
          <w:shd w:val="clear" w:color="auto" w:fill="FFFFFF"/>
        </w:rPr>
        <w:t>h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p lý liên quan đ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n vi</w:t>
      </w:r>
      <w:r>
        <w:rPr>
          <w:rFonts w:eastAsia="Segoe UI"/>
          <w:i/>
          <w:iCs/>
          <w:color w:val="212529"/>
          <w:shd w:val="clear" w:color="auto" w:fill="FFFFFF"/>
        </w:rPr>
        <w:t>ệ</w:t>
      </w:r>
      <w:r>
        <w:rPr>
          <w:rFonts w:eastAsia="Segoe UI"/>
          <w:i/>
          <w:iCs/>
          <w:color w:val="212529"/>
          <w:shd w:val="clear" w:color="auto" w:fill="FFFFFF"/>
        </w:rPr>
        <w:t>c t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o ra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…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b)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cá nhân đ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i v</w:t>
      </w:r>
      <w:r>
        <w:rPr>
          <w:rFonts w:eastAsia="Segoe UI"/>
          <w:i/>
          <w:iCs/>
          <w:color w:val="212529"/>
          <w:shd w:val="clear" w:color="auto" w:fill="FFFFFF"/>
        </w:rPr>
        <w:t>ớ</w:t>
      </w:r>
      <w:r>
        <w:rPr>
          <w:rFonts w:eastAsia="Segoe UI"/>
          <w:i/>
          <w:iCs/>
          <w:color w:val="212529"/>
          <w:shd w:val="clear" w:color="auto" w:fill="FFFFFF"/>
        </w:rPr>
        <w:t>i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v</w:t>
      </w:r>
      <w:r>
        <w:rPr>
          <w:rFonts w:eastAsia="Segoe UI"/>
          <w:i/>
          <w:iCs/>
          <w:color w:val="212529"/>
          <w:shd w:val="clear" w:color="auto" w:fill="FFFFFF"/>
        </w:rPr>
        <w:t>ố</w:t>
      </w:r>
      <w:r>
        <w:rPr>
          <w:rFonts w:eastAsia="Segoe UI"/>
          <w:i/>
          <w:iCs/>
          <w:color w:val="212529"/>
          <w:shd w:val="clear" w:color="auto" w:fill="FFFFFF"/>
        </w:rPr>
        <w:t>n góp áp d</w:t>
      </w:r>
      <w:r>
        <w:rPr>
          <w:rFonts w:eastAsia="Segoe UI"/>
          <w:i/>
          <w:iCs/>
          <w:color w:val="212529"/>
          <w:shd w:val="clear" w:color="auto" w:fill="FFFFFF"/>
        </w:rPr>
        <w:t>ụ</w:t>
      </w:r>
      <w:r>
        <w:rPr>
          <w:rFonts w:eastAsia="Segoe UI"/>
          <w:i/>
          <w:iCs/>
          <w:color w:val="212529"/>
          <w:shd w:val="clear" w:color="auto" w:fill="FFFFFF"/>
        </w:rPr>
        <w:t>ng theo Bi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u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toàn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v</w:t>
      </w:r>
      <w:r>
        <w:rPr>
          <w:rFonts w:eastAsia="Segoe UI"/>
          <w:i/>
          <w:iCs/>
          <w:color w:val="212529"/>
          <w:shd w:val="clear" w:color="auto" w:fill="FFFFFF"/>
        </w:rPr>
        <w:t>ớ</w:t>
      </w:r>
      <w:r>
        <w:rPr>
          <w:rFonts w:eastAsia="Segoe UI"/>
          <w:i/>
          <w:iCs/>
          <w:color w:val="212529"/>
          <w:shd w:val="clear" w:color="auto" w:fill="FFFFFF"/>
        </w:rPr>
        <w:t>i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 là 20%.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…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d) Cách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18"/>
        <w:gridCol w:w="2181"/>
        <w:gridCol w:w="419"/>
        <w:gridCol w:w="3019"/>
      </w:tblGrid>
      <w:tr w:rsidR="005C32CE">
        <w:tc>
          <w:tcPr>
            <w:tcW w:w="1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  <w:r>
              <w:rPr>
                <w:rFonts w:eastAsia="Segoe UI"/>
                <w:i/>
                <w:iCs/>
                <w:color w:val="212529"/>
              </w:rPr>
              <w:t xml:space="preserve"> thu nh</w:t>
            </w:r>
            <w:r>
              <w:rPr>
                <w:rFonts w:eastAsia="Segoe UI"/>
                <w:i/>
                <w:iCs/>
                <w:color w:val="212529"/>
              </w:rPr>
              <w:t>ậ</w:t>
            </w:r>
            <w:r>
              <w:rPr>
                <w:rFonts w:eastAsia="Segoe UI"/>
                <w:i/>
                <w:iCs/>
                <w:color w:val="212529"/>
              </w:rPr>
              <w:t>p cá nhân ph</w:t>
            </w:r>
            <w:r>
              <w:rPr>
                <w:rFonts w:eastAsia="Segoe UI"/>
                <w:i/>
                <w:iCs/>
                <w:color w:val="212529"/>
              </w:rPr>
              <w:t>ả</w:t>
            </w:r>
            <w:r>
              <w:rPr>
                <w:rFonts w:eastAsia="Segoe UI"/>
                <w:i/>
                <w:iCs/>
                <w:color w:val="212529"/>
              </w:rPr>
              <w:t>i n</w:t>
            </w:r>
            <w:r>
              <w:rPr>
                <w:rFonts w:eastAsia="Segoe UI"/>
                <w:i/>
                <w:iCs/>
                <w:color w:val="212529"/>
              </w:rPr>
              <w:t>ộ</w:t>
            </w:r>
            <w:r>
              <w:rPr>
                <w:rFonts w:eastAsia="Segoe UI"/>
                <w:i/>
                <w:iCs/>
                <w:color w:val="212529"/>
              </w:rPr>
              <w:t>p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=</w:t>
            </w:r>
          </w:p>
        </w:tc>
        <w:tc>
          <w:tcPr>
            <w:tcW w:w="1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Thu nh</w:t>
            </w:r>
            <w:r>
              <w:rPr>
                <w:rFonts w:eastAsia="Segoe UI"/>
                <w:i/>
                <w:iCs/>
                <w:color w:val="212529"/>
              </w:rPr>
              <w:t>ậ</w:t>
            </w:r>
            <w:r>
              <w:rPr>
                <w:rFonts w:eastAsia="Segoe UI"/>
                <w:i/>
                <w:iCs/>
                <w:color w:val="212529"/>
              </w:rPr>
              <w:t>p tính 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x</w:t>
            </w:r>
          </w:p>
        </w:tc>
        <w:tc>
          <w:tcPr>
            <w:tcW w:w="1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  <w:r>
              <w:rPr>
                <w:rFonts w:eastAsia="Segoe UI"/>
                <w:i/>
                <w:iCs/>
                <w:color w:val="212529"/>
              </w:rPr>
              <w:t xml:space="preserve"> su</w:t>
            </w:r>
            <w:r>
              <w:rPr>
                <w:rFonts w:eastAsia="Segoe UI"/>
                <w:i/>
                <w:iCs/>
                <w:color w:val="212529"/>
              </w:rPr>
              <w:t>ấ</w:t>
            </w:r>
            <w:r>
              <w:rPr>
                <w:rFonts w:eastAsia="Segoe UI"/>
                <w:i/>
                <w:iCs/>
                <w:color w:val="212529"/>
              </w:rPr>
              <w:t>t 20%”</w:t>
            </w:r>
          </w:p>
        </w:tc>
      </w:tr>
    </w:tbl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 </w:t>
      </w:r>
      <w:bookmarkStart w:id="2" w:name="dc_3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16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92/2015/TT-BTC</w:t>
      </w:r>
      <w:bookmarkEnd w:id="2"/>
      <w:r>
        <w:rPr>
          <w:rFonts w:eastAsia="Segoe UI"/>
          <w:color w:val="212529"/>
          <w:shd w:val="clear" w:color="auto" w:fill="FFFFFF"/>
        </w:rPr>
        <w:t> ngày 15/6/2015 hư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ng d</w:t>
      </w:r>
      <w:r>
        <w:rPr>
          <w:rFonts w:eastAsia="Segoe UI"/>
          <w:color w:val="212529"/>
          <w:shd w:val="clear" w:color="auto" w:fill="FFFFFF"/>
        </w:rPr>
        <w:t>ẫ</w:t>
      </w:r>
      <w:r>
        <w:rPr>
          <w:rFonts w:eastAsia="Segoe UI"/>
          <w:color w:val="212529"/>
          <w:shd w:val="clear" w:color="auto" w:fill="FFFFFF"/>
        </w:rPr>
        <w:t>n S</w:t>
      </w:r>
      <w:r>
        <w:rPr>
          <w:rFonts w:eastAsia="Segoe UI"/>
          <w:color w:val="212529"/>
          <w:shd w:val="clear" w:color="auto" w:fill="FFFFFF"/>
        </w:rPr>
        <w:t>ử</w:t>
      </w:r>
      <w:r>
        <w:rPr>
          <w:rFonts w:eastAsia="Segoe UI"/>
          <w:color w:val="212529"/>
          <w:shd w:val="clear" w:color="auto" w:fill="FFFFFF"/>
        </w:rPr>
        <w:t>a đ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i, b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 xml:space="preserve"> sung </w:t>
      </w:r>
      <w:bookmarkStart w:id="3" w:name="dc_4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ể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m a và 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ể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m b Kho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ả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n 2 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11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111/2013/TT-BTC</w:t>
      </w:r>
      <w:bookmarkEnd w:id="3"/>
      <w:r>
        <w:rPr>
          <w:rFonts w:eastAsia="Segoe UI"/>
          <w:color w:val="212529"/>
          <w:shd w:val="clear" w:color="auto" w:fill="FFFFFF"/>
        </w:rPr>
        <w:t> như sau: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“...b)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 và cách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Cá nhân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 xml:space="preserve">ng </w:t>
      </w:r>
      <w:r>
        <w:rPr>
          <w:rFonts w:eastAsia="Segoe UI"/>
          <w:i/>
          <w:iCs/>
          <w:color w:val="212529"/>
          <w:shd w:val="clear" w:color="auto" w:fill="FFFFFF"/>
        </w:rPr>
        <w:t>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 n</w:t>
      </w:r>
      <w:r>
        <w:rPr>
          <w:rFonts w:eastAsia="Segoe UI"/>
          <w:i/>
          <w:iCs/>
          <w:color w:val="212529"/>
          <w:shd w:val="clear" w:color="auto" w:fill="FFFFFF"/>
        </w:rPr>
        <w:t>ộ</w:t>
      </w:r>
      <w:r>
        <w:rPr>
          <w:rFonts w:eastAsia="Segoe UI"/>
          <w:i/>
          <w:iCs/>
          <w:color w:val="212529"/>
          <w:shd w:val="clear" w:color="auto" w:fill="FFFFFF"/>
        </w:rPr>
        <w:t>p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theo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su</w:t>
      </w:r>
      <w:r>
        <w:rPr>
          <w:rFonts w:eastAsia="Segoe UI"/>
          <w:i/>
          <w:iCs/>
          <w:color w:val="212529"/>
          <w:shd w:val="clear" w:color="auto" w:fill="FFFFFF"/>
        </w:rPr>
        <w:t>ấ</w:t>
      </w:r>
      <w:r>
        <w:rPr>
          <w:rFonts w:eastAsia="Segoe UI"/>
          <w:i/>
          <w:iCs/>
          <w:color w:val="212529"/>
          <w:shd w:val="clear" w:color="auto" w:fill="FFFFFF"/>
        </w:rPr>
        <w:t>t 0,1% trên giá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>ng l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Cách tính thu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03"/>
        <w:gridCol w:w="2683"/>
        <w:gridCol w:w="503"/>
        <w:gridCol w:w="2180"/>
      </w:tblGrid>
      <w:tr w:rsidR="005C32CE"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  <w:r>
              <w:rPr>
                <w:rFonts w:eastAsia="Segoe UI"/>
                <w:i/>
                <w:iCs/>
                <w:color w:val="212529"/>
              </w:rPr>
              <w:t xml:space="preserve"> thu nh</w:t>
            </w:r>
            <w:r>
              <w:rPr>
                <w:rFonts w:eastAsia="Segoe UI"/>
                <w:i/>
                <w:iCs/>
                <w:color w:val="212529"/>
              </w:rPr>
              <w:t>ậ</w:t>
            </w:r>
            <w:r>
              <w:rPr>
                <w:rFonts w:eastAsia="Segoe UI"/>
                <w:i/>
                <w:iCs/>
                <w:color w:val="212529"/>
              </w:rPr>
              <w:t>p cá nhân ph</w:t>
            </w:r>
            <w:r>
              <w:rPr>
                <w:rFonts w:eastAsia="Segoe UI"/>
                <w:i/>
                <w:iCs/>
                <w:color w:val="212529"/>
              </w:rPr>
              <w:t>ả</w:t>
            </w:r>
            <w:r>
              <w:rPr>
                <w:rFonts w:eastAsia="Segoe UI"/>
                <w:i/>
                <w:iCs/>
                <w:color w:val="212529"/>
              </w:rPr>
              <w:t>i n</w:t>
            </w:r>
            <w:r>
              <w:rPr>
                <w:rFonts w:eastAsia="Segoe UI"/>
                <w:i/>
                <w:iCs/>
                <w:color w:val="212529"/>
              </w:rPr>
              <w:t>ộ</w:t>
            </w:r>
            <w:r>
              <w:rPr>
                <w:rFonts w:eastAsia="Segoe UI"/>
                <w:i/>
                <w:iCs/>
                <w:color w:val="212529"/>
              </w:rPr>
              <w:t>p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=</w:t>
            </w:r>
          </w:p>
        </w:tc>
        <w:tc>
          <w:tcPr>
            <w:tcW w:w="1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Giá chuy</w:t>
            </w:r>
            <w:r>
              <w:rPr>
                <w:rFonts w:eastAsia="Segoe UI"/>
                <w:i/>
                <w:iCs/>
                <w:color w:val="212529"/>
              </w:rPr>
              <w:t>ể</w:t>
            </w:r>
            <w:r>
              <w:rPr>
                <w:rFonts w:eastAsia="Segoe UI"/>
                <w:i/>
                <w:iCs/>
                <w:color w:val="212529"/>
              </w:rPr>
              <w:t>n như</w:t>
            </w:r>
            <w:r>
              <w:rPr>
                <w:rFonts w:eastAsia="Segoe UI"/>
                <w:i/>
                <w:iCs/>
                <w:color w:val="212529"/>
              </w:rPr>
              <w:t>ợ</w:t>
            </w:r>
            <w:r>
              <w:rPr>
                <w:rFonts w:eastAsia="Segoe UI"/>
                <w:i/>
                <w:iCs/>
                <w:color w:val="212529"/>
              </w:rPr>
              <w:t>ng ch</w:t>
            </w:r>
            <w:r>
              <w:rPr>
                <w:rFonts w:eastAsia="Segoe UI"/>
                <w:i/>
                <w:iCs/>
                <w:color w:val="212529"/>
              </w:rPr>
              <w:t>ứ</w:t>
            </w:r>
            <w:r>
              <w:rPr>
                <w:rFonts w:eastAsia="Segoe UI"/>
                <w:i/>
                <w:iCs/>
                <w:color w:val="212529"/>
              </w:rPr>
              <w:t>ng khoán t</w:t>
            </w:r>
            <w:r>
              <w:rPr>
                <w:rFonts w:eastAsia="Segoe UI"/>
                <w:i/>
                <w:iCs/>
                <w:color w:val="212529"/>
              </w:rPr>
              <w:t>ừ</w:t>
            </w:r>
            <w:r>
              <w:rPr>
                <w:rFonts w:eastAsia="Segoe UI"/>
                <w:i/>
                <w:iCs/>
                <w:color w:val="212529"/>
              </w:rPr>
              <w:t>ng l</w:t>
            </w:r>
            <w:r>
              <w:rPr>
                <w:rFonts w:eastAsia="Segoe UI"/>
                <w:i/>
                <w:iCs/>
                <w:color w:val="212529"/>
              </w:rPr>
              <w:t>ầ</w:t>
            </w:r>
            <w:r>
              <w:rPr>
                <w:rFonts w:eastAsia="Segoe UI"/>
                <w:i/>
                <w:iCs/>
                <w:color w:val="212529"/>
              </w:rPr>
              <w:t>n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x</w:t>
            </w:r>
          </w:p>
        </w:tc>
        <w:tc>
          <w:tcPr>
            <w:tcW w:w="1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i/>
                <w:iCs/>
                <w:color w:val="212529"/>
              </w:rPr>
              <w:t>Thu</w:t>
            </w:r>
            <w:r>
              <w:rPr>
                <w:rFonts w:eastAsia="Segoe UI"/>
                <w:i/>
                <w:iCs/>
                <w:color w:val="212529"/>
              </w:rPr>
              <w:t>ế</w:t>
            </w:r>
            <w:r>
              <w:rPr>
                <w:rFonts w:eastAsia="Segoe UI"/>
                <w:i/>
                <w:iCs/>
                <w:color w:val="212529"/>
              </w:rPr>
              <w:t xml:space="preserve"> su</w:t>
            </w:r>
            <w:r>
              <w:rPr>
                <w:rFonts w:eastAsia="Segoe UI"/>
                <w:i/>
                <w:iCs/>
                <w:color w:val="212529"/>
              </w:rPr>
              <w:t>ấ</w:t>
            </w:r>
            <w:r>
              <w:rPr>
                <w:rFonts w:eastAsia="Segoe UI"/>
                <w:i/>
                <w:iCs/>
                <w:color w:val="212529"/>
              </w:rPr>
              <w:t>t 0,1%”</w:t>
            </w:r>
          </w:p>
        </w:tc>
      </w:tr>
    </w:tbl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 </w:t>
      </w:r>
      <w:bookmarkStart w:id="4" w:name="dc_9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4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25/2018/TT-BTC</w:t>
      </w:r>
      <w:bookmarkEnd w:id="4"/>
      <w:r>
        <w:rPr>
          <w:rFonts w:eastAsia="Segoe UI"/>
          <w:color w:val="212529"/>
          <w:shd w:val="clear" w:color="auto" w:fill="FFFFFF"/>
        </w:rPr>
        <w:t> ngày 16/3/2018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B</w:t>
      </w:r>
      <w:r>
        <w:rPr>
          <w:rFonts w:eastAsia="Segoe UI"/>
          <w:color w:val="212529"/>
          <w:shd w:val="clear" w:color="auto" w:fill="FFFFFF"/>
        </w:rPr>
        <w:t>ộ</w:t>
      </w:r>
      <w:r>
        <w:rPr>
          <w:rFonts w:eastAsia="Segoe UI"/>
          <w:color w:val="212529"/>
          <w:shd w:val="clear" w:color="auto" w:fill="FFFFFF"/>
        </w:rPr>
        <w:t xml:space="preserve"> </w:t>
      </w:r>
      <w:r>
        <w:rPr>
          <w:rFonts w:eastAsia="Segoe UI"/>
          <w:color w:val="212529"/>
          <w:shd w:val="clear" w:color="auto" w:fill="FFFFFF"/>
        </w:rPr>
        <w:t>Tài chính s</w:t>
      </w:r>
      <w:r>
        <w:rPr>
          <w:rFonts w:eastAsia="Segoe UI"/>
          <w:color w:val="212529"/>
          <w:shd w:val="clear" w:color="auto" w:fill="FFFFFF"/>
        </w:rPr>
        <w:t>ử</w:t>
      </w:r>
      <w:r>
        <w:rPr>
          <w:rFonts w:eastAsia="Segoe UI"/>
          <w:color w:val="212529"/>
          <w:shd w:val="clear" w:color="auto" w:fill="FFFFFF"/>
        </w:rPr>
        <w:t>a đ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i, b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 xml:space="preserve"> sung </w:t>
      </w:r>
      <w:bookmarkStart w:id="5" w:name="dc_10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ể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m b Kho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ả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n 4 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2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111/2013/TT-BTC</w:t>
      </w:r>
      <w:bookmarkEnd w:id="5"/>
      <w:r>
        <w:rPr>
          <w:rFonts w:eastAsia="Segoe UI"/>
          <w:color w:val="212529"/>
          <w:shd w:val="clear" w:color="auto" w:fill="FFFFFF"/>
        </w:rPr>
        <w:t> ngày 15/8/2013 c</w:t>
      </w:r>
      <w:r>
        <w:rPr>
          <w:rFonts w:eastAsia="Segoe UI"/>
          <w:color w:val="212529"/>
          <w:shd w:val="clear" w:color="auto" w:fill="FFFFFF"/>
        </w:rPr>
        <w:t>ủ</w:t>
      </w:r>
      <w:r>
        <w:rPr>
          <w:rFonts w:eastAsia="Segoe UI"/>
          <w:color w:val="212529"/>
          <w:shd w:val="clear" w:color="auto" w:fill="FFFFFF"/>
        </w:rPr>
        <w:t>a B</w:t>
      </w:r>
      <w:r>
        <w:rPr>
          <w:rFonts w:eastAsia="Segoe UI"/>
          <w:color w:val="212529"/>
          <w:shd w:val="clear" w:color="auto" w:fill="FFFFFF"/>
        </w:rPr>
        <w:t>ộ</w:t>
      </w:r>
      <w:r>
        <w:rPr>
          <w:rFonts w:eastAsia="Segoe UI"/>
          <w:color w:val="212529"/>
          <w:shd w:val="clear" w:color="auto" w:fill="FFFFFF"/>
        </w:rPr>
        <w:t xml:space="preserve"> Tài chính như sau: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i/>
          <w:iCs/>
          <w:color w:val="212529"/>
          <w:shd w:val="clear" w:color="auto" w:fill="FFFFFF"/>
        </w:rPr>
        <w:t>“b.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khoán, bao g</w:t>
      </w:r>
      <w:r>
        <w:rPr>
          <w:rFonts w:eastAsia="Segoe UI"/>
          <w:i/>
          <w:iCs/>
          <w:color w:val="212529"/>
          <w:shd w:val="clear" w:color="auto" w:fill="FFFFFF"/>
        </w:rPr>
        <w:t>ồ</w:t>
      </w:r>
      <w:r>
        <w:rPr>
          <w:rFonts w:eastAsia="Segoe UI"/>
          <w:i/>
          <w:iCs/>
          <w:color w:val="212529"/>
          <w:shd w:val="clear" w:color="auto" w:fill="FFFFFF"/>
        </w:rPr>
        <w:t>m: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quy</w:t>
      </w:r>
      <w:r>
        <w:rPr>
          <w:rFonts w:eastAsia="Segoe UI"/>
          <w:i/>
          <w:iCs/>
          <w:color w:val="212529"/>
          <w:shd w:val="clear" w:color="auto" w:fill="FFFFFF"/>
        </w:rPr>
        <w:t>ề</w:t>
      </w:r>
      <w:r>
        <w:rPr>
          <w:rFonts w:eastAsia="Segoe UI"/>
          <w:i/>
          <w:iCs/>
          <w:color w:val="212529"/>
          <w:shd w:val="clear" w:color="auto" w:fill="FFFFFF"/>
        </w:rPr>
        <w:t>n mua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trái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tín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u,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c</w:t>
      </w:r>
      <w:r>
        <w:rPr>
          <w:rFonts w:eastAsia="Segoe UI"/>
          <w:i/>
          <w:iCs/>
          <w:color w:val="212529"/>
          <w:shd w:val="clear" w:color="auto" w:fill="FFFFFF"/>
        </w:rPr>
        <w:t>h</w:t>
      </w:r>
      <w:r>
        <w:rPr>
          <w:rFonts w:eastAsia="Segoe UI"/>
          <w:i/>
          <w:iCs/>
          <w:color w:val="212529"/>
          <w:shd w:val="clear" w:color="auto" w:fill="FFFFFF"/>
        </w:rPr>
        <w:t>ỉ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qu</w:t>
      </w:r>
      <w:r>
        <w:rPr>
          <w:rFonts w:eastAsia="Segoe UI"/>
          <w:i/>
          <w:iCs/>
          <w:color w:val="212529"/>
          <w:shd w:val="clear" w:color="auto" w:fill="FFFFFF"/>
        </w:rPr>
        <w:t>ỹ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và các lo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i ch</w:t>
      </w:r>
      <w:r>
        <w:rPr>
          <w:rFonts w:eastAsia="Segoe UI"/>
          <w:i/>
          <w:iCs/>
          <w:color w:val="212529"/>
          <w:shd w:val="clear" w:color="auto" w:fill="FFFFFF"/>
        </w:rPr>
        <w:t>ứ</w:t>
      </w:r>
      <w:r>
        <w:rPr>
          <w:rFonts w:eastAsia="Segoe UI"/>
          <w:i/>
          <w:iCs/>
          <w:color w:val="212529"/>
          <w:shd w:val="clear" w:color="auto" w:fill="FFFFFF"/>
        </w:rPr>
        <w:t>ng khoán khác theo quy 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nh t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i </w:t>
      </w:r>
      <w:bookmarkStart w:id="6" w:name="dc_5"/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Kho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ả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n 1 Đi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u 6 c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ủ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a Lu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ậ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t ch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ứ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ng khoán</w:t>
      </w:r>
      <w:bookmarkEnd w:id="6"/>
      <w:r>
        <w:rPr>
          <w:rFonts w:eastAsia="Segoe UI"/>
          <w:i/>
          <w:iCs/>
          <w:color w:val="212529"/>
          <w:shd w:val="clear" w:color="auto" w:fill="FFFFFF"/>
        </w:rPr>
        <w:t>. Thu nh</w:t>
      </w:r>
      <w:r>
        <w:rPr>
          <w:rFonts w:eastAsia="Segoe UI"/>
          <w:i/>
          <w:iCs/>
          <w:color w:val="212529"/>
          <w:shd w:val="clear" w:color="auto" w:fill="FFFFFF"/>
        </w:rPr>
        <w:t>ậ</w:t>
      </w:r>
      <w:r>
        <w:rPr>
          <w:rFonts w:eastAsia="Segoe UI"/>
          <w:i/>
          <w:iCs/>
          <w:color w:val="212529"/>
          <w:shd w:val="clear" w:color="auto" w:fill="FFFFFF"/>
        </w:rPr>
        <w:t>p t</w:t>
      </w:r>
      <w:r>
        <w:rPr>
          <w:rFonts w:eastAsia="Segoe UI"/>
          <w:i/>
          <w:iCs/>
          <w:color w:val="212529"/>
          <w:shd w:val="clear" w:color="auto" w:fill="FFFFFF"/>
        </w:rPr>
        <w:t>ừ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chuy</w:t>
      </w:r>
      <w:r>
        <w:rPr>
          <w:rFonts w:eastAsia="Segoe UI"/>
          <w:i/>
          <w:iCs/>
          <w:color w:val="212529"/>
          <w:shd w:val="clear" w:color="auto" w:fill="FFFFFF"/>
        </w:rPr>
        <w:t>ể</w:t>
      </w:r>
      <w:r>
        <w:rPr>
          <w:rFonts w:eastAsia="Segoe UI"/>
          <w:i/>
          <w:iCs/>
          <w:color w:val="212529"/>
          <w:shd w:val="clear" w:color="auto" w:fill="FFFFFF"/>
        </w:rPr>
        <w:t>n như</w:t>
      </w:r>
      <w:r>
        <w:rPr>
          <w:rFonts w:eastAsia="Segoe UI"/>
          <w:i/>
          <w:iCs/>
          <w:color w:val="212529"/>
          <w:shd w:val="clear" w:color="auto" w:fill="FFFFFF"/>
        </w:rPr>
        <w:t>ợ</w:t>
      </w:r>
      <w:r>
        <w:rPr>
          <w:rFonts w:eastAsia="Segoe UI"/>
          <w:i/>
          <w:iCs/>
          <w:color w:val="212529"/>
          <w:shd w:val="clear" w:color="auto" w:fill="FFFFFF"/>
        </w:rPr>
        <w:t>ng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phi</w:t>
      </w:r>
      <w:r>
        <w:rPr>
          <w:rFonts w:eastAsia="Segoe UI"/>
          <w:i/>
          <w:iCs/>
          <w:color w:val="212529"/>
          <w:shd w:val="clear" w:color="auto" w:fill="FFFFFF"/>
        </w:rPr>
        <w:t>ế</w:t>
      </w:r>
      <w:r>
        <w:rPr>
          <w:rFonts w:eastAsia="Segoe UI"/>
          <w:i/>
          <w:iCs/>
          <w:color w:val="212529"/>
          <w:shd w:val="clear" w:color="auto" w:fill="FFFFFF"/>
        </w:rPr>
        <w:t>u c</w:t>
      </w:r>
      <w:r>
        <w:rPr>
          <w:rFonts w:eastAsia="Segoe UI"/>
          <w:i/>
          <w:iCs/>
          <w:color w:val="212529"/>
          <w:shd w:val="clear" w:color="auto" w:fill="FFFFFF"/>
        </w:rPr>
        <w:t>ủ</w:t>
      </w:r>
      <w:r>
        <w:rPr>
          <w:rFonts w:eastAsia="Segoe UI"/>
          <w:i/>
          <w:iCs/>
          <w:color w:val="212529"/>
          <w:shd w:val="clear" w:color="auto" w:fill="FFFFFF"/>
        </w:rPr>
        <w:t>a các cá nhân trong công ty c</w:t>
      </w:r>
      <w:r>
        <w:rPr>
          <w:rFonts w:eastAsia="Segoe UI"/>
          <w:i/>
          <w:iCs/>
          <w:color w:val="212529"/>
          <w:shd w:val="clear" w:color="auto" w:fill="FFFFFF"/>
        </w:rPr>
        <w:t>ổ</w:t>
      </w:r>
      <w:r>
        <w:rPr>
          <w:rFonts w:eastAsia="Segoe UI"/>
          <w:i/>
          <w:iCs/>
          <w:color w:val="212529"/>
          <w:shd w:val="clear" w:color="auto" w:fill="FFFFFF"/>
        </w:rPr>
        <w:t xml:space="preserve"> ph</w:t>
      </w:r>
      <w:r>
        <w:rPr>
          <w:rFonts w:eastAsia="Segoe UI"/>
          <w:i/>
          <w:iCs/>
          <w:color w:val="212529"/>
          <w:shd w:val="clear" w:color="auto" w:fill="FFFFFF"/>
        </w:rPr>
        <w:t>ầ</w:t>
      </w:r>
      <w:r>
        <w:rPr>
          <w:rFonts w:eastAsia="Segoe UI"/>
          <w:i/>
          <w:iCs/>
          <w:color w:val="212529"/>
          <w:shd w:val="clear" w:color="auto" w:fill="FFFFFF"/>
        </w:rPr>
        <w:t>n theo quy đ</w:t>
      </w:r>
      <w:r>
        <w:rPr>
          <w:rFonts w:eastAsia="Segoe UI"/>
          <w:i/>
          <w:iCs/>
          <w:color w:val="212529"/>
          <w:shd w:val="clear" w:color="auto" w:fill="FFFFFF"/>
        </w:rPr>
        <w:t>ị</w:t>
      </w:r>
      <w:r>
        <w:rPr>
          <w:rFonts w:eastAsia="Segoe UI"/>
          <w:i/>
          <w:iCs/>
          <w:color w:val="212529"/>
          <w:shd w:val="clear" w:color="auto" w:fill="FFFFFF"/>
        </w:rPr>
        <w:t>nh t</w:t>
      </w:r>
      <w:r>
        <w:rPr>
          <w:rFonts w:eastAsia="Segoe UI"/>
          <w:i/>
          <w:iCs/>
          <w:color w:val="212529"/>
          <w:shd w:val="clear" w:color="auto" w:fill="FFFFFF"/>
        </w:rPr>
        <w:t>ạ</w:t>
      </w:r>
      <w:r>
        <w:rPr>
          <w:rFonts w:eastAsia="Segoe UI"/>
          <w:i/>
          <w:iCs/>
          <w:color w:val="212529"/>
          <w:shd w:val="clear" w:color="auto" w:fill="FFFFFF"/>
        </w:rPr>
        <w:t>i </w:t>
      </w:r>
      <w:bookmarkStart w:id="7" w:name="dc_6"/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Kho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ả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n 2 Đi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u 6 c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ủ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a Lu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ậ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t ch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ứ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ng khoán</w:t>
      </w:r>
      <w:bookmarkEnd w:id="7"/>
      <w:r>
        <w:rPr>
          <w:rFonts w:eastAsia="Segoe UI"/>
          <w:i/>
          <w:iCs/>
          <w:color w:val="212529"/>
          <w:shd w:val="clear" w:color="auto" w:fill="FFFFFF"/>
        </w:rPr>
        <w:t> và </w:t>
      </w:r>
      <w:bookmarkStart w:id="8" w:name="dc_7"/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u 120 c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ủ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a Lu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ậ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t doanh nghi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ệ</w:t>
      </w:r>
      <w:r>
        <w:rPr>
          <w:rFonts w:eastAsia="Segoe UI"/>
          <w:b/>
          <w:bCs/>
          <w:i/>
          <w:iCs/>
          <w:color w:val="DC143C"/>
          <w:u w:val="single"/>
          <w:shd w:val="clear" w:color="auto" w:fill="FFFFFF"/>
        </w:rPr>
        <w:t>p</w:t>
      </w:r>
      <w:bookmarkEnd w:id="8"/>
      <w:r>
        <w:rPr>
          <w:rFonts w:eastAsia="Segoe UI"/>
          <w:i/>
          <w:iCs/>
          <w:color w:val="212529"/>
          <w:shd w:val="clear" w:color="auto" w:fill="FFFFFF"/>
        </w:rPr>
        <w:t>.”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Că</w:t>
      </w:r>
      <w:r>
        <w:rPr>
          <w:rFonts w:eastAsia="Segoe UI"/>
          <w:color w:val="212529"/>
          <w:shd w:val="clear" w:color="auto" w:fill="FFFFFF"/>
        </w:rPr>
        <w:t>n c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 xml:space="preserve"> theo nh</w:t>
      </w:r>
      <w:r>
        <w:rPr>
          <w:rFonts w:eastAsia="Segoe UI"/>
          <w:color w:val="212529"/>
          <w:shd w:val="clear" w:color="auto" w:fill="FFFFFF"/>
        </w:rPr>
        <w:t>ữ</w:t>
      </w:r>
      <w:r>
        <w:rPr>
          <w:rFonts w:eastAsia="Segoe UI"/>
          <w:color w:val="212529"/>
          <w:shd w:val="clear" w:color="auto" w:fill="FFFFFF"/>
        </w:rPr>
        <w:t>ng hư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ng d</w:t>
      </w:r>
      <w:r>
        <w:rPr>
          <w:rFonts w:eastAsia="Segoe UI"/>
          <w:color w:val="212529"/>
          <w:shd w:val="clear" w:color="auto" w:fill="FFFFFF"/>
        </w:rPr>
        <w:t>ẫ</w:t>
      </w:r>
      <w:r>
        <w:rPr>
          <w:rFonts w:eastAsia="Segoe UI"/>
          <w:color w:val="212529"/>
          <w:shd w:val="clear" w:color="auto" w:fill="FFFFFF"/>
        </w:rPr>
        <w:t>n nêu trên, các cá nhân chuy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>n như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ng v</w:t>
      </w:r>
      <w:r>
        <w:rPr>
          <w:rFonts w:eastAsia="Segoe UI"/>
          <w:color w:val="212529"/>
          <w:shd w:val="clear" w:color="auto" w:fill="FFFFFF"/>
        </w:rPr>
        <w:t>ố</w:t>
      </w:r>
      <w:r>
        <w:rPr>
          <w:rFonts w:eastAsia="Segoe UI"/>
          <w:color w:val="212529"/>
          <w:shd w:val="clear" w:color="auto" w:fill="FFFFFF"/>
        </w:rPr>
        <w:t>n trong công ty c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 xml:space="preserve"> ph</w:t>
      </w:r>
      <w:r>
        <w:rPr>
          <w:rFonts w:eastAsia="Segoe UI"/>
          <w:color w:val="212529"/>
          <w:shd w:val="clear" w:color="auto" w:fill="FFFFFF"/>
        </w:rPr>
        <w:t>ầ</w:t>
      </w:r>
      <w:r>
        <w:rPr>
          <w:rFonts w:eastAsia="Segoe UI"/>
          <w:color w:val="212529"/>
          <w:shd w:val="clear" w:color="auto" w:fill="FFFFFF"/>
        </w:rPr>
        <w:t>n theo quy đ</w:t>
      </w:r>
      <w:r>
        <w:rPr>
          <w:rFonts w:eastAsia="Segoe UI"/>
          <w:color w:val="212529"/>
          <w:shd w:val="clear" w:color="auto" w:fill="FFFFFF"/>
        </w:rPr>
        <w:t>ị</w:t>
      </w:r>
      <w:r>
        <w:rPr>
          <w:rFonts w:eastAsia="Segoe UI"/>
          <w:color w:val="212529"/>
          <w:shd w:val="clear" w:color="auto" w:fill="FFFFFF"/>
        </w:rPr>
        <w:t>nh 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 lu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t Doanh nghi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p và Lu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t Ch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>ng khoán đư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c xác đ</w:t>
      </w:r>
      <w:r>
        <w:rPr>
          <w:rFonts w:eastAsia="Segoe UI"/>
          <w:color w:val="212529"/>
          <w:shd w:val="clear" w:color="auto" w:fill="FFFFFF"/>
        </w:rPr>
        <w:t>ị</w:t>
      </w:r>
      <w:r>
        <w:rPr>
          <w:rFonts w:eastAsia="Segoe UI"/>
          <w:color w:val="212529"/>
          <w:shd w:val="clear" w:color="auto" w:fill="FFFFFF"/>
        </w:rPr>
        <w:t>nh là chuy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>n như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ng ch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>ng khoán, theo đó các cá nhân th</w:t>
      </w:r>
      <w:r>
        <w:rPr>
          <w:rFonts w:eastAsia="Segoe UI"/>
          <w:color w:val="212529"/>
          <w:shd w:val="clear" w:color="auto" w:fill="FFFFFF"/>
        </w:rPr>
        <w:t>ự</w:t>
      </w:r>
      <w:r>
        <w:rPr>
          <w:rFonts w:eastAsia="Segoe UI"/>
          <w:color w:val="212529"/>
          <w:shd w:val="clear" w:color="auto" w:fill="FFFFFF"/>
        </w:rPr>
        <w:t>c hi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n kê khai, n</w:t>
      </w:r>
      <w:r>
        <w:rPr>
          <w:rFonts w:eastAsia="Segoe UI"/>
          <w:color w:val="212529"/>
          <w:shd w:val="clear" w:color="auto" w:fill="FFFFFF"/>
        </w:rPr>
        <w:t>ộ</w:t>
      </w:r>
      <w:r>
        <w:rPr>
          <w:rFonts w:eastAsia="Segoe UI"/>
          <w:color w:val="212529"/>
          <w:shd w:val="clear" w:color="auto" w:fill="FFFFFF"/>
        </w:rPr>
        <w:t>p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TNCN theo m</w:t>
      </w:r>
      <w:r>
        <w:rPr>
          <w:rFonts w:eastAsia="Segoe UI"/>
          <w:color w:val="212529"/>
          <w:shd w:val="clear" w:color="auto" w:fill="FFFFFF"/>
        </w:rPr>
        <w:t>ứ</w:t>
      </w:r>
      <w:r>
        <w:rPr>
          <w:rFonts w:eastAsia="Segoe UI"/>
          <w:color w:val="212529"/>
          <w:shd w:val="clear" w:color="auto" w:fill="FFFFFF"/>
        </w:rPr>
        <w:t>c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s</w:t>
      </w:r>
      <w:r>
        <w:rPr>
          <w:rFonts w:eastAsia="Segoe UI"/>
          <w:color w:val="212529"/>
          <w:shd w:val="clear" w:color="auto" w:fill="FFFFFF"/>
        </w:rPr>
        <w:t>u</w:t>
      </w:r>
      <w:r>
        <w:rPr>
          <w:rFonts w:eastAsia="Segoe UI"/>
          <w:color w:val="212529"/>
          <w:shd w:val="clear" w:color="auto" w:fill="FFFFFF"/>
        </w:rPr>
        <w:t>ấ</w:t>
      </w:r>
      <w:r>
        <w:rPr>
          <w:rFonts w:eastAsia="Segoe UI"/>
          <w:color w:val="212529"/>
          <w:shd w:val="clear" w:color="auto" w:fill="FFFFFF"/>
        </w:rPr>
        <w:t>t 0,1% tính trên giá chuy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>n như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ng theo hư</w:t>
      </w:r>
      <w:r>
        <w:rPr>
          <w:rFonts w:eastAsia="Segoe UI"/>
          <w:color w:val="212529"/>
          <w:shd w:val="clear" w:color="auto" w:fill="FFFFFF"/>
        </w:rPr>
        <w:t>ớ</w:t>
      </w:r>
      <w:r>
        <w:rPr>
          <w:rFonts w:eastAsia="Segoe UI"/>
          <w:color w:val="212529"/>
          <w:shd w:val="clear" w:color="auto" w:fill="FFFFFF"/>
        </w:rPr>
        <w:t>ng d</w:t>
      </w:r>
      <w:r>
        <w:rPr>
          <w:rFonts w:eastAsia="Segoe UI"/>
          <w:color w:val="212529"/>
          <w:shd w:val="clear" w:color="auto" w:fill="FFFFFF"/>
        </w:rPr>
        <w:t>ẫ</w:t>
      </w:r>
      <w:r>
        <w:rPr>
          <w:rFonts w:eastAsia="Segoe UI"/>
          <w:color w:val="212529"/>
          <w:shd w:val="clear" w:color="auto" w:fill="FFFFFF"/>
        </w:rPr>
        <w:t>n t</w:t>
      </w:r>
      <w:r>
        <w:rPr>
          <w:rFonts w:eastAsia="Segoe UI"/>
          <w:color w:val="212529"/>
          <w:shd w:val="clear" w:color="auto" w:fill="FFFFFF"/>
        </w:rPr>
        <w:t>ạ</w:t>
      </w:r>
      <w:r>
        <w:rPr>
          <w:rFonts w:eastAsia="Segoe UI"/>
          <w:color w:val="212529"/>
          <w:shd w:val="clear" w:color="auto" w:fill="FFFFFF"/>
        </w:rPr>
        <w:t>i </w:t>
      </w:r>
      <w:bookmarkStart w:id="9" w:name="dc_8"/>
      <w:r>
        <w:rPr>
          <w:rFonts w:eastAsia="Segoe UI"/>
          <w:b/>
          <w:bCs/>
          <w:color w:val="DC143C"/>
          <w:u w:val="single"/>
          <w:shd w:val="clear" w:color="auto" w:fill="FFFFFF"/>
        </w:rPr>
        <w:t>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16 và Đi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ề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u 21 Thông tư s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>ố</w:t>
      </w:r>
      <w:r>
        <w:rPr>
          <w:rFonts w:eastAsia="Segoe UI"/>
          <w:b/>
          <w:bCs/>
          <w:color w:val="DC143C"/>
          <w:u w:val="single"/>
          <w:shd w:val="clear" w:color="auto" w:fill="FFFFFF"/>
        </w:rPr>
        <w:t xml:space="preserve"> 92/2015/TT-BTC</w:t>
      </w:r>
      <w:bookmarkEnd w:id="9"/>
      <w:r>
        <w:rPr>
          <w:rFonts w:eastAsia="Segoe UI"/>
          <w:color w:val="212529"/>
          <w:shd w:val="clear" w:color="auto" w:fill="FFFFFF"/>
        </w:rPr>
        <w:t>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T</w:t>
      </w:r>
      <w:r>
        <w:rPr>
          <w:rFonts w:eastAsia="Segoe UI"/>
          <w:color w:val="212529"/>
          <w:shd w:val="clear" w:color="auto" w:fill="FFFFFF"/>
        </w:rPr>
        <w:t>ổ</w:t>
      </w:r>
      <w:r>
        <w:rPr>
          <w:rFonts w:eastAsia="Segoe UI"/>
          <w:color w:val="212529"/>
          <w:shd w:val="clear" w:color="auto" w:fill="FFFFFF"/>
        </w:rPr>
        <w:t>ng c</w:t>
      </w:r>
      <w:r>
        <w:rPr>
          <w:rFonts w:eastAsia="Segoe UI"/>
          <w:color w:val="212529"/>
          <w:shd w:val="clear" w:color="auto" w:fill="FFFFFF"/>
        </w:rPr>
        <w:t>ụ</w:t>
      </w:r>
      <w:r>
        <w:rPr>
          <w:rFonts w:eastAsia="Segoe UI"/>
          <w:color w:val="212529"/>
          <w:shd w:val="clear" w:color="auto" w:fill="FFFFFF"/>
        </w:rPr>
        <w:t>c Thu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 xml:space="preserve"> thông báo đ</w:t>
      </w:r>
      <w:r>
        <w:rPr>
          <w:rFonts w:eastAsia="Segoe UI"/>
          <w:color w:val="212529"/>
          <w:shd w:val="clear" w:color="auto" w:fill="FFFFFF"/>
        </w:rPr>
        <w:t>ể</w:t>
      </w:r>
      <w:r>
        <w:rPr>
          <w:rFonts w:eastAsia="Segoe UI"/>
          <w:color w:val="212529"/>
          <w:shd w:val="clear" w:color="auto" w:fill="FFFFFF"/>
        </w:rPr>
        <w:t xml:space="preserve"> Công ty Lu</w:t>
      </w:r>
      <w:r>
        <w:rPr>
          <w:rFonts w:eastAsia="Segoe UI"/>
          <w:color w:val="212529"/>
          <w:shd w:val="clear" w:color="auto" w:fill="FFFFFF"/>
        </w:rPr>
        <w:t>ậ</w:t>
      </w:r>
      <w:r>
        <w:rPr>
          <w:rFonts w:eastAsia="Segoe UI"/>
          <w:color w:val="212529"/>
          <w:shd w:val="clear" w:color="auto" w:fill="FFFFFF"/>
        </w:rPr>
        <w:t>t Vi</w:t>
      </w:r>
      <w:r>
        <w:rPr>
          <w:rFonts w:eastAsia="Segoe UI"/>
          <w:color w:val="212529"/>
          <w:shd w:val="clear" w:color="auto" w:fill="FFFFFF"/>
        </w:rPr>
        <w:t>ệ</w:t>
      </w:r>
      <w:r>
        <w:rPr>
          <w:rFonts w:eastAsia="Segoe UI"/>
          <w:color w:val="212529"/>
          <w:shd w:val="clear" w:color="auto" w:fill="FFFFFF"/>
        </w:rPr>
        <w:t>t Nam Consult đư</w:t>
      </w:r>
      <w:r>
        <w:rPr>
          <w:rFonts w:eastAsia="Segoe UI"/>
          <w:color w:val="212529"/>
          <w:shd w:val="clear" w:color="auto" w:fill="FFFFFF"/>
        </w:rPr>
        <w:t>ợ</w:t>
      </w:r>
      <w:r>
        <w:rPr>
          <w:rFonts w:eastAsia="Segoe UI"/>
          <w:color w:val="212529"/>
          <w:shd w:val="clear" w:color="auto" w:fill="FFFFFF"/>
        </w:rPr>
        <w:t>c bi</w:t>
      </w:r>
      <w:r>
        <w:rPr>
          <w:rFonts w:eastAsia="Segoe UI"/>
          <w:color w:val="212529"/>
          <w:shd w:val="clear" w:color="auto" w:fill="FFFFFF"/>
        </w:rPr>
        <w:t>ế</w:t>
      </w:r>
      <w:r>
        <w:rPr>
          <w:rFonts w:eastAsia="Segoe UI"/>
          <w:color w:val="212529"/>
          <w:shd w:val="clear" w:color="auto" w:fill="FFFFFF"/>
        </w:rPr>
        <w:t>t./.</w:t>
      </w:r>
    </w:p>
    <w:p w:rsidR="005C32CE" w:rsidRDefault="004B58DA">
      <w:pPr>
        <w:pStyle w:val="NormalWeb"/>
        <w:shd w:val="clear" w:color="auto" w:fill="FFFFFF"/>
        <w:spacing w:before="120" w:beforeAutospacing="0" w:after="120" w:afterAutospacing="0"/>
        <w:rPr>
          <w:rFonts w:eastAsia="Segoe UI"/>
          <w:color w:val="212529"/>
        </w:rPr>
      </w:pPr>
      <w:r>
        <w:rPr>
          <w:rFonts w:eastAsia="Segoe UI"/>
          <w:color w:val="212529"/>
          <w:shd w:val="clear" w:color="auto" w:fill="FFFFFF"/>
        </w:rPr>
        <w:t> </w:t>
      </w:r>
    </w:p>
    <w:tbl>
      <w:tblPr>
        <w:tblW w:w="83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5382"/>
      </w:tblGrid>
      <w:tr w:rsidR="005C32CE"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</w:pPr>
            <w:r>
              <w:rPr>
                <w:rFonts w:eastAsia="Segoe UI"/>
                <w:b/>
                <w:bCs/>
                <w:i/>
                <w:iCs/>
                <w:color w:val="212529"/>
              </w:rPr>
              <w:br/>
              <w:t>Nơi nh</w:t>
            </w:r>
            <w:r>
              <w:rPr>
                <w:rFonts w:eastAsia="Segoe UI"/>
                <w:b/>
                <w:bCs/>
                <w:i/>
                <w:iCs/>
                <w:color w:val="212529"/>
              </w:rPr>
              <w:t>ậ</w:t>
            </w:r>
            <w:r>
              <w:rPr>
                <w:rFonts w:eastAsia="Segoe UI"/>
                <w:b/>
                <w:bCs/>
                <w:i/>
                <w:iCs/>
                <w:color w:val="212529"/>
              </w:rPr>
              <w:t>n:</w:t>
            </w:r>
            <w:r>
              <w:rPr>
                <w:rFonts w:eastAsia="Segoe UI"/>
                <w:b/>
                <w:bCs/>
                <w:i/>
                <w:iCs/>
                <w:color w:val="212529"/>
              </w:rPr>
              <w:br/>
            </w:r>
            <w:r>
              <w:rPr>
                <w:rFonts w:eastAsia="Segoe UI"/>
                <w:color w:val="212529"/>
              </w:rPr>
              <w:t>- Như trên;</w:t>
            </w:r>
            <w:r>
              <w:rPr>
                <w:rFonts w:eastAsia="Segoe UI"/>
                <w:color w:val="212529"/>
              </w:rPr>
              <w:br/>
              <w:t>- Văn phòng Chính ph</w:t>
            </w:r>
            <w:r>
              <w:rPr>
                <w:rFonts w:eastAsia="Segoe UI"/>
                <w:color w:val="212529"/>
              </w:rPr>
              <w:t>ủ</w:t>
            </w:r>
            <w:r>
              <w:rPr>
                <w:rFonts w:eastAsia="Segoe UI"/>
                <w:color w:val="212529"/>
              </w:rPr>
              <w:t xml:space="preserve"> (đ</w:t>
            </w:r>
            <w:r>
              <w:rPr>
                <w:rFonts w:eastAsia="Segoe UI"/>
                <w:color w:val="212529"/>
              </w:rPr>
              <w:t>ể</w:t>
            </w:r>
            <w:r>
              <w:rPr>
                <w:rFonts w:eastAsia="Segoe UI"/>
                <w:color w:val="212529"/>
              </w:rPr>
              <w:t xml:space="preserve"> b/c);</w:t>
            </w:r>
            <w:r>
              <w:rPr>
                <w:rFonts w:eastAsia="Segoe UI"/>
                <w:color w:val="212529"/>
              </w:rPr>
              <w:br/>
              <w:t>- Lãnh đ</w:t>
            </w:r>
            <w:r>
              <w:rPr>
                <w:rFonts w:eastAsia="Segoe UI"/>
                <w:color w:val="212529"/>
              </w:rPr>
              <w:t>ạ</w:t>
            </w:r>
            <w:r>
              <w:rPr>
                <w:rFonts w:eastAsia="Segoe UI"/>
                <w:color w:val="212529"/>
              </w:rPr>
              <w:t>o B</w:t>
            </w:r>
            <w:r>
              <w:rPr>
                <w:rFonts w:eastAsia="Segoe UI"/>
                <w:color w:val="212529"/>
              </w:rPr>
              <w:t>ộ</w:t>
            </w:r>
            <w:r>
              <w:rPr>
                <w:rFonts w:eastAsia="Segoe UI"/>
                <w:color w:val="212529"/>
              </w:rPr>
              <w:t xml:space="preserve"> Tài </w:t>
            </w:r>
            <w:r>
              <w:rPr>
                <w:rFonts w:eastAsia="Segoe UI"/>
                <w:color w:val="212529"/>
              </w:rPr>
              <w:t>chính (đ</w:t>
            </w:r>
            <w:r>
              <w:rPr>
                <w:rFonts w:eastAsia="Segoe UI"/>
                <w:color w:val="212529"/>
              </w:rPr>
              <w:t>ể</w:t>
            </w:r>
            <w:r>
              <w:rPr>
                <w:rFonts w:eastAsia="Segoe UI"/>
                <w:color w:val="212529"/>
              </w:rPr>
              <w:t xml:space="preserve"> b/c);</w:t>
            </w:r>
            <w:r>
              <w:rPr>
                <w:rFonts w:eastAsia="Segoe UI"/>
                <w:color w:val="212529"/>
              </w:rPr>
              <w:br/>
              <w:t>- Phó t</w:t>
            </w:r>
            <w:r>
              <w:rPr>
                <w:rFonts w:eastAsia="Segoe UI"/>
                <w:color w:val="212529"/>
              </w:rPr>
              <w:t>ổ</w:t>
            </w:r>
            <w:r>
              <w:rPr>
                <w:rFonts w:eastAsia="Segoe UI"/>
                <w:color w:val="212529"/>
              </w:rPr>
              <w:t>ng c</w:t>
            </w:r>
            <w:r>
              <w:rPr>
                <w:rFonts w:eastAsia="Segoe UI"/>
                <w:color w:val="212529"/>
              </w:rPr>
              <w:t>ụ</w:t>
            </w:r>
            <w:r>
              <w:rPr>
                <w:rFonts w:eastAsia="Segoe UI"/>
                <w:color w:val="212529"/>
              </w:rPr>
              <w:t>c trư</w:t>
            </w:r>
            <w:r>
              <w:rPr>
                <w:rFonts w:eastAsia="Segoe UI"/>
                <w:color w:val="212529"/>
              </w:rPr>
              <w:t>ở</w:t>
            </w:r>
            <w:r>
              <w:rPr>
                <w:rFonts w:eastAsia="Segoe UI"/>
                <w:color w:val="212529"/>
              </w:rPr>
              <w:t>ng Nguy</w:t>
            </w:r>
            <w:r>
              <w:rPr>
                <w:rFonts w:eastAsia="Segoe UI"/>
                <w:color w:val="212529"/>
              </w:rPr>
              <w:t>ễ</w:t>
            </w:r>
            <w:r>
              <w:rPr>
                <w:rFonts w:eastAsia="Segoe UI"/>
                <w:color w:val="212529"/>
              </w:rPr>
              <w:t>n Đ</w:t>
            </w:r>
            <w:r>
              <w:rPr>
                <w:rFonts w:eastAsia="Segoe UI"/>
                <w:color w:val="212529"/>
              </w:rPr>
              <w:t>ạ</w:t>
            </w:r>
            <w:r>
              <w:rPr>
                <w:rFonts w:eastAsia="Segoe UI"/>
                <w:color w:val="212529"/>
              </w:rPr>
              <w:t>i Trí (đ</w:t>
            </w:r>
            <w:r>
              <w:rPr>
                <w:rFonts w:eastAsia="Segoe UI"/>
                <w:color w:val="212529"/>
              </w:rPr>
              <w:t>ể</w:t>
            </w:r>
            <w:r>
              <w:rPr>
                <w:rFonts w:eastAsia="Segoe UI"/>
                <w:color w:val="212529"/>
              </w:rPr>
              <w:t xml:space="preserve"> b/c);</w:t>
            </w:r>
            <w:r>
              <w:rPr>
                <w:rFonts w:eastAsia="Segoe UI"/>
                <w:color w:val="212529"/>
              </w:rPr>
              <w:br/>
              <w:t>- V</w:t>
            </w:r>
            <w:r>
              <w:rPr>
                <w:rFonts w:eastAsia="Segoe UI"/>
                <w:color w:val="212529"/>
              </w:rPr>
              <w:t>ụ</w:t>
            </w:r>
            <w:r>
              <w:rPr>
                <w:rFonts w:eastAsia="Segoe UI"/>
                <w:color w:val="212529"/>
              </w:rPr>
              <w:t xml:space="preserve"> Pháp ch</w:t>
            </w:r>
            <w:r>
              <w:rPr>
                <w:rFonts w:eastAsia="Segoe UI"/>
                <w:color w:val="212529"/>
              </w:rPr>
              <w:t>ế</w:t>
            </w:r>
            <w:r>
              <w:rPr>
                <w:rFonts w:eastAsia="Segoe UI"/>
                <w:color w:val="212529"/>
              </w:rPr>
              <w:t>; V</w:t>
            </w:r>
            <w:r>
              <w:rPr>
                <w:rFonts w:eastAsia="Segoe UI"/>
                <w:color w:val="212529"/>
              </w:rPr>
              <w:t>ụ</w:t>
            </w:r>
            <w:r>
              <w:rPr>
                <w:rFonts w:eastAsia="Segoe UI"/>
                <w:color w:val="212529"/>
              </w:rPr>
              <w:t xml:space="preserve"> Chính sách (TCT);</w:t>
            </w:r>
            <w:r>
              <w:rPr>
                <w:rFonts w:eastAsia="Segoe UI"/>
                <w:color w:val="212529"/>
              </w:rPr>
              <w:br/>
              <w:t>- Website TCT;</w:t>
            </w:r>
            <w:r>
              <w:rPr>
                <w:rFonts w:eastAsia="Segoe UI"/>
                <w:color w:val="212529"/>
              </w:rPr>
              <w:br/>
              <w:t>- Lưu: VT, TNCN.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32CE" w:rsidRDefault="004B58DA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eastAsia="Segoe UI"/>
                <w:b/>
                <w:bCs/>
                <w:color w:val="212529"/>
              </w:rPr>
              <w:t>TL.T</w:t>
            </w:r>
            <w:r>
              <w:rPr>
                <w:rFonts w:eastAsia="Segoe UI"/>
                <w:b/>
                <w:bCs/>
                <w:color w:val="212529"/>
              </w:rPr>
              <w:t>Ổ</w:t>
            </w:r>
            <w:r>
              <w:rPr>
                <w:rFonts w:eastAsia="Segoe UI"/>
                <w:b/>
                <w:bCs/>
                <w:color w:val="212529"/>
              </w:rPr>
              <w:t>NG C</w:t>
            </w:r>
            <w:r>
              <w:rPr>
                <w:rFonts w:eastAsia="Segoe UI"/>
                <w:b/>
                <w:bCs/>
                <w:color w:val="212529"/>
              </w:rPr>
              <w:t>Ụ</w:t>
            </w:r>
            <w:r>
              <w:rPr>
                <w:rFonts w:eastAsia="Segoe UI"/>
                <w:b/>
                <w:bCs/>
                <w:color w:val="212529"/>
              </w:rPr>
              <w:t>C TRƯ</w:t>
            </w:r>
            <w:r>
              <w:rPr>
                <w:rFonts w:eastAsia="Segoe UI"/>
                <w:b/>
                <w:bCs/>
                <w:color w:val="212529"/>
              </w:rPr>
              <w:t>Ở</w:t>
            </w:r>
            <w:r>
              <w:rPr>
                <w:rFonts w:eastAsia="Segoe UI"/>
                <w:b/>
                <w:bCs/>
                <w:color w:val="212529"/>
              </w:rPr>
              <w:t>NG</w:t>
            </w:r>
            <w:r>
              <w:rPr>
                <w:rFonts w:eastAsia="Segoe UI"/>
                <w:b/>
                <w:bCs/>
                <w:color w:val="212529"/>
              </w:rPr>
              <w:br/>
              <w:t>KT.V</w:t>
            </w:r>
            <w:r>
              <w:rPr>
                <w:rFonts w:eastAsia="Segoe UI"/>
                <w:b/>
                <w:bCs/>
                <w:color w:val="212529"/>
              </w:rPr>
              <w:t>Ụ</w:t>
            </w:r>
            <w:r>
              <w:rPr>
                <w:rFonts w:eastAsia="Segoe UI"/>
                <w:b/>
                <w:bCs/>
                <w:color w:val="212529"/>
              </w:rPr>
              <w:t xml:space="preserve"> TRƯ</w:t>
            </w:r>
            <w:r>
              <w:rPr>
                <w:rFonts w:eastAsia="Segoe UI"/>
                <w:b/>
                <w:bCs/>
                <w:color w:val="212529"/>
              </w:rPr>
              <w:t>Ở</w:t>
            </w:r>
            <w:r>
              <w:rPr>
                <w:rFonts w:eastAsia="Segoe UI"/>
                <w:b/>
                <w:bCs/>
                <w:color w:val="212529"/>
              </w:rPr>
              <w:t>NG V</w:t>
            </w:r>
            <w:r>
              <w:rPr>
                <w:rFonts w:eastAsia="Segoe UI"/>
                <w:b/>
                <w:bCs/>
                <w:color w:val="212529"/>
              </w:rPr>
              <w:t>Ụ</w:t>
            </w:r>
            <w:r>
              <w:rPr>
                <w:rFonts w:eastAsia="Segoe UI"/>
                <w:b/>
                <w:bCs/>
                <w:color w:val="212529"/>
              </w:rPr>
              <w:t xml:space="preserve"> QLT THU NH</w:t>
            </w:r>
            <w:r>
              <w:rPr>
                <w:rFonts w:eastAsia="Segoe UI"/>
                <w:b/>
                <w:bCs/>
                <w:color w:val="212529"/>
              </w:rPr>
              <w:t>Ậ</w:t>
            </w:r>
            <w:r>
              <w:rPr>
                <w:rFonts w:eastAsia="Segoe UI"/>
                <w:b/>
                <w:bCs/>
                <w:color w:val="212529"/>
              </w:rPr>
              <w:t>P CÁ NHÂN</w:t>
            </w:r>
            <w:r>
              <w:rPr>
                <w:rFonts w:eastAsia="Segoe UI"/>
                <w:b/>
                <w:bCs/>
                <w:color w:val="212529"/>
              </w:rPr>
              <w:br/>
              <w:t>PHÓ V</w:t>
            </w:r>
            <w:r>
              <w:rPr>
                <w:rFonts w:eastAsia="Segoe UI"/>
                <w:b/>
                <w:bCs/>
                <w:color w:val="212529"/>
              </w:rPr>
              <w:t>Ụ</w:t>
            </w:r>
            <w:r>
              <w:rPr>
                <w:rFonts w:eastAsia="Segoe UI"/>
                <w:b/>
                <w:bCs/>
                <w:color w:val="212529"/>
              </w:rPr>
              <w:t xml:space="preserve"> TRƯ</w:t>
            </w:r>
            <w:r>
              <w:rPr>
                <w:rFonts w:eastAsia="Segoe UI"/>
                <w:b/>
                <w:bCs/>
                <w:color w:val="212529"/>
              </w:rPr>
              <w:t>Ở</w:t>
            </w:r>
            <w:r>
              <w:rPr>
                <w:rFonts w:eastAsia="Segoe UI"/>
                <w:b/>
                <w:bCs/>
                <w:color w:val="212529"/>
              </w:rPr>
              <w:t>NG</w:t>
            </w:r>
            <w:r>
              <w:rPr>
                <w:rFonts w:eastAsia="Segoe UI"/>
                <w:b/>
                <w:bCs/>
                <w:color w:val="212529"/>
              </w:rPr>
              <w:br/>
            </w:r>
            <w:r>
              <w:rPr>
                <w:rFonts w:eastAsia="Segoe UI"/>
                <w:b/>
                <w:bCs/>
                <w:color w:val="212529"/>
              </w:rPr>
              <w:br/>
            </w:r>
            <w:r>
              <w:rPr>
                <w:rFonts w:eastAsia="Segoe UI"/>
                <w:b/>
                <w:bCs/>
                <w:color w:val="212529"/>
              </w:rPr>
              <w:br/>
            </w:r>
            <w:r>
              <w:rPr>
                <w:rFonts w:eastAsia="Segoe UI"/>
                <w:b/>
                <w:bCs/>
                <w:color w:val="212529"/>
              </w:rPr>
              <w:br/>
            </w:r>
            <w:r>
              <w:rPr>
                <w:rFonts w:eastAsia="Segoe UI"/>
                <w:b/>
                <w:bCs/>
                <w:color w:val="212529"/>
              </w:rPr>
              <w:br/>
              <w:t>Lý Th</w:t>
            </w:r>
            <w:r>
              <w:rPr>
                <w:rFonts w:eastAsia="Segoe UI"/>
                <w:b/>
                <w:bCs/>
                <w:color w:val="212529"/>
              </w:rPr>
              <w:t>ị</w:t>
            </w:r>
            <w:r>
              <w:rPr>
                <w:rFonts w:eastAsia="Segoe UI"/>
                <w:b/>
                <w:bCs/>
                <w:color w:val="212529"/>
              </w:rPr>
              <w:t xml:space="preserve"> Hoài Hương</w:t>
            </w:r>
          </w:p>
        </w:tc>
      </w:tr>
    </w:tbl>
    <w:p w:rsidR="005C32CE" w:rsidRDefault="005C32CE">
      <w:pPr>
        <w:rPr>
          <w:rFonts w:ascii="Times New Roman" w:hAnsi="Times New Roman" w:cs="Times New Roman"/>
          <w:sz w:val="24"/>
          <w:szCs w:val="24"/>
        </w:rPr>
      </w:pPr>
    </w:p>
    <w:sectPr w:rsidR="005C32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303232"/>
    <w:rsid w:val="002725F4"/>
    <w:rsid w:val="004B58DA"/>
    <w:rsid w:val="005C32CE"/>
    <w:rsid w:val="28303232"/>
    <w:rsid w:val="45A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387DE"/>
  <w15:docId w15:val="{A29805EB-3846-420C-9FB2-7BEA97C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hapluatcongdong.vn/van-ban/cong-van-2861-tct-tncn-ban-hanh-tong-cuc-thue-nam-2018-p9172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chi</dc:creator>
  <cp:lastModifiedBy>Nguyen Co</cp:lastModifiedBy>
  <cp:revision>1</cp:revision>
  <dcterms:created xsi:type="dcterms:W3CDTF">2021-08-03T15:55:00Z</dcterms:created>
  <dcterms:modified xsi:type="dcterms:W3CDTF">2021-08-03T15:55:00Z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